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302CE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302CE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302C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0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6" w:name="_Toc533773063"/>
      <w:r w:rsidRPr="001A63B2">
        <w:lastRenderedPageBreak/>
        <w:t>Нормативные правовые документы</w:t>
      </w:r>
      <w:bookmarkEnd w:id="1"/>
      <w:bookmarkEnd w:id="6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7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8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7"/>
      <w:bookmarkEnd w:id="8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proofErr w:type="gramEnd"/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75243">
        <w:rPr>
          <w:sz w:val="26"/>
          <w:szCs w:val="26"/>
        </w:rPr>
        <w:t>медико-социальной</w:t>
      </w:r>
      <w:proofErr w:type="gramEnd"/>
      <w:r w:rsidRPr="00475243">
        <w:rPr>
          <w:sz w:val="26"/>
          <w:szCs w:val="26"/>
        </w:rPr>
        <w:t xml:space="preserve">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9" w:name="_Toc412737756"/>
      <w:bookmarkStart w:id="10" w:name="_Toc533773065"/>
      <w:bookmarkEnd w:id="2"/>
      <w:bookmarkEnd w:id="3"/>
      <w:bookmarkEnd w:id="4"/>
      <w:bookmarkEnd w:id="5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9"/>
      <w:bookmarkEnd w:id="10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</w:t>
      </w:r>
      <w:proofErr w:type="gramStart"/>
      <w:r w:rsidR="00DB565C" w:rsidRPr="00DB565C">
        <w:rPr>
          <w:sz w:val="26"/>
          <w:szCs w:val="26"/>
        </w:rPr>
        <w:t>в</w:t>
      </w:r>
      <w:proofErr w:type="gramEnd"/>
      <w:r w:rsidR="00DB565C" w:rsidRPr="00DB565C">
        <w:rPr>
          <w:sz w:val="26"/>
          <w:szCs w:val="26"/>
        </w:rPr>
        <w:t xml:space="preserve">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proofErr w:type="gramStart"/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  <w:proofErr w:type="gramEnd"/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1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2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1"/>
      <w:bookmarkEnd w:id="12"/>
    </w:p>
    <w:p w:rsidR="00F401F0" w:rsidRPr="001A63B2" w:rsidRDefault="005033AA" w:rsidP="00107EBC">
      <w:pPr>
        <w:pStyle w:val="2"/>
      </w:pPr>
      <w:bookmarkStart w:id="13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3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4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4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107EBC">
      <w:pPr>
        <w:pStyle w:val="2"/>
      </w:pPr>
      <w:bookmarkStart w:id="15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5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lastRenderedPageBreak/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6" w:name="_Toc412737758"/>
      <w:bookmarkStart w:id="17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6"/>
      <w:bookmarkEnd w:id="17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8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9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r w:rsidR="00F401F0" w:rsidRPr="001A63B2">
        <w:t xml:space="preserve"> </w:t>
      </w:r>
      <w:bookmarkEnd w:id="18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0" w:name="_Toc412737760"/>
      <w:bookmarkStart w:id="21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0"/>
      <w:bookmarkEnd w:id="21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2" w:name="_Toc533773073"/>
      <w:bookmarkStart w:id="23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2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4" w:name="_Toc412737762"/>
      <w:bookmarkStart w:id="25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4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5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6" w:name="_Toc412737763"/>
      <w:bookmarkStart w:id="27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6"/>
      <w:r w:rsidR="00D63AB3">
        <w:t>экзамена</w:t>
      </w:r>
      <w:bookmarkEnd w:id="27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8" w:name="_Toc533773076"/>
      <w:bookmarkStart w:id="29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8"/>
      <w:r w:rsidRPr="001A63B2">
        <w:t xml:space="preserve"> </w:t>
      </w:r>
      <w:bookmarkEnd w:id="29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0" w:name="_Toc412737765"/>
      <w:bookmarkStart w:id="31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0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1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2" w:name="_Toc412737766"/>
      <w:bookmarkStart w:id="33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2"/>
      <w:bookmarkEnd w:id="33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97EDD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  <w:highlight w:val="yellow"/>
              </w:rPr>
            </w:pPr>
            <w:bookmarkStart w:id="34" w:name="_GoBack"/>
            <w:bookmarkEnd w:id="34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97EDD" w:rsidRDefault="00F401F0" w:rsidP="00107EBC">
            <w:pPr>
              <w:rPr>
                <w:b/>
                <w:sz w:val="22"/>
                <w:szCs w:val="22"/>
                <w:highlight w:val="yellow"/>
              </w:rPr>
            </w:pPr>
            <w:r w:rsidRPr="00897EDD">
              <w:rPr>
                <w:b/>
                <w:sz w:val="22"/>
                <w:szCs w:val="22"/>
                <w:highlight w:val="yellow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Отдельные аудитории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в П</w:t>
            </w:r>
            <w:r w:rsidRPr="00897EDD">
              <w:rPr>
                <w:sz w:val="22"/>
                <w:szCs w:val="22"/>
                <w:highlight w:val="yellow"/>
              </w:rPr>
              <w:t>ПЭ должны находиться на  первых этажах.</w:t>
            </w:r>
            <w:r w:rsidR="00B9190B" w:rsidRPr="00897EDD">
              <w:rPr>
                <w:sz w:val="22"/>
                <w:szCs w:val="22"/>
                <w:highlight w:val="yellow"/>
              </w:rPr>
              <w:t xml:space="preserve"> </w:t>
            </w:r>
          </w:p>
          <w:p w:rsidR="00F401F0" w:rsidRPr="00897EDD" w:rsidRDefault="00B9190B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897EDD">
              <w:rPr>
                <w:sz w:val="22"/>
                <w:szCs w:val="22"/>
                <w:highlight w:val="yellow"/>
              </w:rPr>
              <w:t xml:space="preserve">им </w:t>
            </w:r>
            <w:r w:rsidRPr="00897EDD">
              <w:rPr>
                <w:sz w:val="22"/>
                <w:szCs w:val="22"/>
                <w:highlight w:val="yellow"/>
              </w:rPr>
              <w:t>информации по сдаваемому учебному предмету.</w:t>
            </w:r>
          </w:p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 xml:space="preserve">Количество участников </w:t>
            </w:r>
            <w:r w:rsidR="00D63AB3" w:rsidRPr="00897EDD">
              <w:rPr>
                <w:sz w:val="22"/>
                <w:szCs w:val="22"/>
                <w:highlight w:val="yellow"/>
              </w:rPr>
              <w:t>экзамена</w:t>
            </w:r>
            <w:r w:rsidR="00FC485A" w:rsidRPr="00897EDD">
              <w:rPr>
                <w:sz w:val="22"/>
                <w:szCs w:val="22"/>
                <w:highlight w:val="yellow"/>
              </w:rPr>
              <w:t xml:space="preserve">  </w:t>
            </w:r>
            <w:r w:rsidR="00B11A89" w:rsidRPr="00897EDD">
              <w:rPr>
                <w:sz w:val="22"/>
                <w:szCs w:val="22"/>
                <w:highlight w:val="yellow"/>
              </w:rPr>
              <w:t>в о</w:t>
            </w:r>
            <w:r w:rsidRPr="00897EDD">
              <w:rPr>
                <w:sz w:val="22"/>
                <w:szCs w:val="22"/>
                <w:highlight w:val="yellow"/>
              </w:rPr>
              <w:t>дной аудитории –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не б</w:t>
            </w:r>
            <w:r w:rsidRPr="00897EDD">
              <w:rPr>
                <w:sz w:val="22"/>
                <w:szCs w:val="22"/>
                <w:highlight w:val="yellow"/>
              </w:rPr>
              <w:t xml:space="preserve">олее </w:t>
            </w:r>
            <w:r w:rsidR="00541C54" w:rsidRPr="00897EDD">
              <w:rPr>
                <w:sz w:val="22"/>
                <w:szCs w:val="22"/>
                <w:highlight w:val="yellow"/>
              </w:rPr>
              <w:t xml:space="preserve">               </w:t>
            </w:r>
            <w:r w:rsidRPr="00897EDD">
              <w:rPr>
                <w:sz w:val="22"/>
                <w:szCs w:val="22"/>
                <w:highlight w:val="yellow"/>
              </w:rPr>
              <w:t>10 человек</w:t>
            </w:r>
            <w:r w:rsidR="005033AA" w:rsidRPr="00897EDD">
              <w:rPr>
                <w:sz w:val="22"/>
                <w:szCs w:val="22"/>
                <w:highlight w:val="yellow"/>
              </w:rPr>
              <w:t>.</w:t>
            </w:r>
          </w:p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В ППЭ – пандусы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и п</w:t>
            </w:r>
            <w:r w:rsidRPr="00897EDD">
              <w:rPr>
                <w:sz w:val="22"/>
                <w:szCs w:val="22"/>
                <w:highlight w:val="yellow"/>
              </w:rPr>
              <w:t>оручни,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в п</w:t>
            </w:r>
            <w:r w:rsidRPr="00897EDD">
              <w:rPr>
                <w:sz w:val="22"/>
                <w:szCs w:val="22"/>
                <w:highlight w:val="yellow"/>
              </w:rPr>
              <w:t>омещении – специальные кресла, медицинские лежаки – для детей, которые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не м</w:t>
            </w:r>
            <w:r w:rsidRPr="00897EDD">
              <w:rPr>
                <w:sz w:val="22"/>
                <w:szCs w:val="22"/>
                <w:highlight w:val="yellow"/>
              </w:rPr>
              <w:t>огут долго сидеть</w:t>
            </w:r>
            <w:r w:rsidR="005033AA" w:rsidRPr="00897EDD">
              <w:rPr>
                <w:sz w:val="22"/>
                <w:szCs w:val="22"/>
                <w:highlight w:val="yellow"/>
              </w:rPr>
              <w:t>.</w:t>
            </w:r>
          </w:p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В туалетных помещениях также предусмотреть расширенные дверные проемы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и п</w:t>
            </w:r>
            <w:r w:rsidRPr="00897EDD">
              <w:rPr>
                <w:sz w:val="22"/>
                <w:szCs w:val="22"/>
                <w:highlight w:val="yellow"/>
              </w:rPr>
              <w:t>оручни</w:t>
            </w:r>
            <w:r w:rsidR="005033AA" w:rsidRPr="00897ED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Ассистенты</w:t>
            </w:r>
          </w:p>
          <w:p w:rsidR="00F401F0" w:rsidRPr="00897EDD" w:rsidRDefault="00F401F0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>могут при необходимости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в т</w:t>
            </w:r>
            <w:r w:rsidRPr="00897EDD">
              <w:rPr>
                <w:sz w:val="22"/>
                <w:szCs w:val="22"/>
                <w:highlight w:val="yellow"/>
              </w:rPr>
              <w:t>ечение всего экзамена оказывать помощь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в с</w:t>
            </w:r>
            <w:r w:rsidRPr="00897EDD">
              <w:rPr>
                <w:sz w:val="22"/>
                <w:szCs w:val="22"/>
                <w:highlight w:val="yellow"/>
              </w:rPr>
              <w:t>опровождение выпускников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с о</w:t>
            </w:r>
            <w:r w:rsidRPr="00897EDD">
              <w:rPr>
                <w:sz w:val="22"/>
                <w:szCs w:val="22"/>
                <w:highlight w:val="yellow"/>
              </w:rPr>
              <w:t>граниченной мобильностью (помогают сменить положение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в к</w:t>
            </w:r>
            <w:r w:rsidRPr="00897EDD">
              <w:rPr>
                <w:sz w:val="22"/>
                <w:szCs w:val="22"/>
                <w:highlight w:val="yellow"/>
              </w:rPr>
              <w:t>олясках, креслах, лежаках, фиксировать положение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в к</w:t>
            </w:r>
            <w:r w:rsidRPr="00897EDD">
              <w:rPr>
                <w:sz w:val="22"/>
                <w:szCs w:val="22"/>
                <w:highlight w:val="yellow"/>
              </w:rPr>
              <w:t>ресле, укрепить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и п</w:t>
            </w:r>
            <w:r w:rsidRPr="00897EDD">
              <w:rPr>
                <w:sz w:val="22"/>
                <w:szCs w:val="22"/>
                <w:highlight w:val="yellow"/>
              </w:rPr>
              <w:t>оправить протезы</w:t>
            </w:r>
            <w:r w:rsidR="00B11A89" w:rsidRPr="00897EDD">
              <w:rPr>
                <w:sz w:val="22"/>
                <w:szCs w:val="22"/>
                <w:highlight w:val="yellow"/>
              </w:rPr>
              <w:t xml:space="preserve"> и т</w:t>
            </w:r>
            <w:r w:rsidRPr="00897EDD">
              <w:rPr>
                <w:sz w:val="22"/>
                <w:szCs w:val="22"/>
                <w:highlight w:val="yellow"/>
              </w:rPr>
              <w:t>.п.)</w:t>
            </w:r>
          </w:p>
          <w:p w:rsidR="00B9190B" w:rsidRPr="00897EDD" w:rsidRDefault="00B9190B" w:rsidP="00107EBC">
            <w:pPr>
              <w:rPr>
                <w:sz w:val="22"/>
                <w:szCs w:val="22"/>
                <w:highlight w:val="yellow"/>
              </w:rPr>
            </w:pPr>
            <w:r w:rsidRPr="00897EDD">
              <w:rPr>
                <w:sz w:val="22"/>
                <w:szCs w:val="22"/>
                <w:highlight w:val="yellow"/>
              </w:rPr>
              <w:t xml:space="preserve">При выполнении участником </w:t>
            </w:r>
            <w:r w:rsidR="00FC485A" w:rsidRPr="00897EDD">
              <w:rPr>
                <w:sz w:val="22"/>
                <w:szCs w:val="22"/>
                <w:highlight w:val="yellow"/>
              </w:rPr>
              <w:t xml:space="preserve">экзамена </w:t>
            </w:r>
            <w:r w:rsidRPr="00897EDD">
              <w:rPr>
                <w:sz w:val="22"/>
                <w:szCs w:val="22"/>
                <w:highlight w:val="yellow"/>
              </w:rPr>
              <w:t>экзамена</w:t>
            </w:r>
            <w:r w:rsidR="00760DAB" w:rsidRPr="00897EDD">
              <w:rPr>
                <w:sz w:val="22"/>
                <w:szCs w:val="22"/>
                <w:highlight w:val="yellow"/>
              </w:rPr>
              <w:t xml:space="preserve">ционной </w:t>
            </w:r>
            <w:r w:rsidRPr="00897EDD">
              <w:rPr>
                <w:sz w:val="22"/>
                <w:szCs w:val="22"/>
                <w:highlight w:val="yellow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 w:rsidRPr="00897EDD">
              <w:rPr>
                <w:sz w:val="22"/>
                <w:szCs w:val="22"/>
                <w:highlight w:val="yellow"/>
              </w:rPr>
              <w:t xml:space="preserve">экзамена </w:t>
            </w:r>
            <w:r w:rsidRPr="00897EDD">
              <w:rPr>
                <w:sz w:val="22"/>
                <w:szCs w:val="22"/>
                <w:highlight w:val="yellow"/>
              </w:rPr>
              <w:t>в стандартные бланки ответов</w:t>
            </w:r>
            <w:r w:rsidR="00760DAB" w:rsidRPr="00897ED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97EDD" w:rsidRDefault="00B9190B" w:rsidP="00107EBC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897EDD">
              <w:rPr>
                <w:sz w:val="22"/>
                <w:szCs w:val="22"/>
                <w:highlight w:val="yellow"/>
              </w:rPr>
              <w:t>При выполнении участником экзамена работы на компьютере</w:t>
            </w:r>
            <w:r w:rsidRPr="00897EDD">
              <w:rPr>
                <w:highlight w:val="yellow"/>
              </w:rPr>
              <w:t xml:space="preserve"> </w:t>
            </w:r>
            <w:r w:rsidRPr="00897EDD">
              <w:rPr>
                <w:sz w:val="22"/>
                <w:szCs w:val="22"/>
                <w:highlight w:val="yellow"/>
              </w:rPr>
              <w:t xml:space="preserve">ассистент оформляет регистрационный бланк (для участника </w:t>
            </w:r>
            <w:r w:rsidR="008C6B5A" w:rsidRPr="00897EDD">
              <w:rPr>
                <w:sz w:val="22"/>
                <w:szCs w:val="22"/>
                <w:highlight w:val="yellow"/>
              </w:rPr>
              <w:t>экзамена (</w:t>
            </w:r>
            <w:r w:rsidRPr="00897EDD">
              <w:rPr>
                <w:sz w:val="22"/>
                <w:szCs w:val="22"/>
                <w:highlight w:val="yellow"/>
              </w:rPr>
              <w:t>ЕГЭ),  бланк ответа № 1, бланк ответов № 2</w:t>
            </w:r>
            <w:r w:rsidR="005033AA" w:rsidRPr="00897EDD">
              <w:rPr>
                <w:sz w:val="22"/>
                <w:szCs w:val="22"/>
                <w:highlight w:val="yellow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EF" w:rsidRDefault="00302CEF" w:rsidP="00E26F70">
      <w:r>
        <w:separator/>
      </w:r>
    </w:p>
  </w:endnote>
  <w:endnote w:type="continuationSeparator" w:id="0">
    <w:p w:rsidR="00302CEF" w:rsidRDefault="00302CE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DD">
          <w:rPr>
            <w:noProof/>
          </w:rPr>
          <w:t>31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EF" w:rsidRDefault="00302CEF" w:rsidP="00E26F70">
      <w:r>
        <w:separator/>
      </w:r>
    </w:p>
  </w:footnote>
  <w:footnote w:type="continuationSeparator" w:id="0">
    <w:p w:rsidR="00302CEF" w:rsidRDefault="00302CEF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02CEF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97E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23131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477D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29F4-09F7-4C83-B3B2-AEE0011F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33</Pages>
  <Words>9910</Words>
  <Characters>56487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Елена Григорьевна Шарая</cp:lastModifiedBy>
  <cp:revision>29</cp:revision>
  <cp:lastPrinted>2017-12-27T13:58:00Z</cp:lastPrinted>
  <dcterms:created xsi:type="dcterms:W3CDTF">2018-04-26T15:02:00Z</dcterms:created>
  <dcterms:modified xsi:type="dcterms:W3CDTF">2019-04-29T09:55:00Z</dcterms:modified>
</cp:coreProperties>
</file>