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9" w:rsidRDefault="000A1034">
      <w:pPr>
        <w:spacing w:line="240" w:lineRule="auto"/>
        <w:jc w:val="center"/>
        <w:rPr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6242684</wp:posOffset>
                </wp:positionH>
                <wp:positionV relativeFrom="paragraph">
                  <wp:posOffset>-325755</wp:posOffset>
                </wp:positionV>
                <wp:extent cx="3133725" cy="1200150"/>
                <wp:effectExtent l="0" t="0" r="952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034" w:rsidRPr="000A1034" w:rsidRDefault="000A1034" w:rsidP="000A103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034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0A1034" w:rsidRPr="000A1034" w:rsidRDefault="000A1034" w:rsidP="000A103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034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0A1034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0A1034" w:rsidRPr="000A1034" w:rsidRDefault="000A1034" w:rsidP="000A103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034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0A1034" w:rsidRPr="000A1034" w:rsidRDefault="000A1034" w:rsidP="000A103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034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91.55pt;margin-top:-25.65pt;width:246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vILgIAACAEAAAOAAAAZHJzL2Uyb0RvYy54bWysU0tu2zAQ3RfoHQjua0n+NIlgOUiduiiQ&#10;foC0B6ApyiJKcliStuReJqfoqkDP4CN1SDmOke6KckFwODOPM28e59e9VmQnnJdgKlqMckqE4VBL&#10;s6no1y+rV5eU+MBMzRQYUdG98PR68fLFvLOlGEMLqhaOIIjxZWcr2oZgyyzzvBWa+RFYYdDZgNMs&#10;oOk2We1Yh+haZeM8f5114GrrgAvv8fZ2cNJFwm8awcOnpvEiEFVRrC2k3aV9HfdsMWflxjHbSn4s&#10;g/1DFZpJg4+eoG5ZYGTr5F9QWnIHHpow4qAzaBrJReoBuynyZ93ct8yK1AuS4+2JJv//YPnH3WdH&#10;ZF3RSX5BiWEah3R4OPw+/Dr8JPEOGeqsLzHw3mJo6N9Aj5NO3Xp7B/ybJwaWLTMbceMcdK1gNVZY&#10;xMzsLHXA8RFk3X2AGh9i2wAJqG+cjvQhIQTRcVL703REHwjHy0kxmVyMZ5Rw9BU4/GKW5pex8jHd&#10;Oh/eCdAkHirqcPwJnu3ufIjlsPIxJL7mQcl6JZVKhtusl8qRHUOprNJKHTwLU4Z0Fb2aYSExy0DM&#10;TyrSMqCUldQVvczjGsQV6Xhr6hQSmFTDGStR5shPpGQgJ/TrHgMjaWuo98iUg0Gy+MXw0IL7QUmH&#10;cq2o/75lTlCi3htk+6qYTqO+kzGdXYzRcOee9bmHGY5QFQ2UDMdlSH9i6OgGp9LIxNdTJcdaUYaJ&#10;xuOXiTo/t1PU08de/AEAAP//AwBQSwMEFAAGAAgAAAAhACM7k//gAAAADAEAAA8AAABkcnMvZG93&#10;bnJldi54bWxMj8FOg0AQhu8mvsNmTLyYdkFatkWWRk00Xlv7AANMgcjOEnZb6Nu7PeltJvPln+/P&#10;d7PpxYVG11nWEC8jEMSVrTtuNBy/PxYbEM4j19hbJg1XcrAr7u9yzGo78Z4uB9+IEMIuQw2t90Mm&#10;pataMuiWdiAOt5MdDfqwjo2sR5xCuOnlcxSl0mDH4UOLA723VP0czkbD6Wt6Wm+n8tMf1X6VvmGn&#10;SnvV+vFhfn0B4Wn2fzDc9IM6FMGptGeuneg1bDdJHFANi3WcgLgRK5WmIMowJUqBLHL5v0TxCwAA&#10;//8DAFBLAQItABQABgAIAAAAIQC2gziS/gAAAOEBAAATAAAAAAAAAAAAAAAAAAAAAABbQ29udGVu&#10;dF9UeXBlc10ueG1sUEsBAi0AFAAGAAgAAAAhADj9If/WAAAAlAEAAAsAAAAAAAAAAAAAAAAALwEA&#10;AF9yZWxzLy5yZWxzUEsBAi0AFAAGAAgAAAAhAB8Pm8guAgAAIAQAAA4AAAAAAAAAAAAAAAAALgIA&#10;AGRycy9lMm9Eb2MueG1sUEsBAi0AFAAGAAgAAAAhACM7k//gAAAADAEAAA8AAAAAAAAAAAAAAAAA&#10;iAQAAGRycy9kb3ducmV2LnhtbFBLBQYAAAAABAAEAPMAAACVBQAAAAA=&#10;" stroked="f">
                <v:textbox>
                  <w:txbxContent>
                    <w:p w:rsidR="000A1034" w:rsidRPr="000A1034" w:rsidRDefault="000A1034" w:rsidP="000A103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034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0A1034" w:rsidRPr="000A1034" w:rsidRDefault="000A1034" w:rsidP="000A103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034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0A1034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0A1034" w:rsidRPr="000A1034" w:rsidRDefault="000A1034" w:rsidP="000A103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034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0A1034" w:rsidRPr="000A1034" w:rsidRDefault="000A1034" w:rsidP="000A103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034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</w:p>
    <w:p w:rsidR="000A1034" w:rsidRDefault="000A1034">
      <w:pPr>
        <w:spacing w:line="240" w:lineRule="auto"/>
        <w:jc w:val="center"/>
        <w:rPr>
          <w:sz w:val="24"/>
        </w:rPr>
      </w:pPr>
      <w:bookmarkStart w:id="0" w:name="_GoBack"/>
      <w:bookmarkEnd w:id="0"/>
    </w:p>
    <w:p w:rsidR="00C31509" w:rsidRDefault="00817E14">
      <w:pPr>
        <w:spacing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А С П О Р Т</w:t>
      </w:r>
    </w:p>
    <w:p w:rsidR="00C31509" w:rsidRDefault="00B96DD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регионального</w:t>
      </w:r>
      <w:r w:rsidR="00817E14">
        <w:rPr>
          <w:b/>
          <w:sz w:val="24"/>
        </w:rPr>
        <w:t xml:space="preserve"> проекта</w:t>
      </w: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40E98">
        <w:rPr>
          <w:b/>
          <w:sz w:val="24"/>
        </w:rPr>
        <w:t>«Социальная активность»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>1. Основные положения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C31509" w:rsidRPr="00AE7235">
        <w:tc>
          <w:tcPr>
            <w:tcW w:w="4665" w:type="dxa"/>
          </w:tcPr>
          <w:p w:rsidR="00C31509" w:rsidRPr="00AE7235" w:rsidRDefault="00817E14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</w:tcPr>
          <w:p w:rsidR="00C31509" w:rsidRPr="00AE7235" w:rsidRDefault="00817E14">
            <w:pPr>
              <w:spacing w:line="240" w:lineRule="auto"/>
              <w:jc w:val="center"/>
              <w:rPr>
                <w:sz w:val="24"/>
              </w:rPr>
            </w:pPr>
            <w:r w:rsidRPr="00AE7235">
              <w:rPr>
                <w:sz w:val="24"/>
              </w:rPr>
              <w:t>Образование</w:t>
            </w:r>
          </w:p>
        </w:tc>
      </w:tr>
      <w:tr w:rsidR="00C31509" w:rsidRPr="00AE7235">
        <w:tc>
          <w:tcPr>
            <w:tcW w:w="4665" w:type="dxa"/>
          </w:tcPr>
          <w:p w:rsidR="00C31509" w:rsidRPr="00AE7235" w:rsidRDefault="00817E14" w:rsidP="00B96DD8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 xml:space="preserve">Краткое наименование </w:t>
            </w:r>
            <w:r w:rsidR="00B96DD8" w:rsidRPr="00AE7235">
              <w:rPr>
                <w:sz w:val="24"/>
              </w:rPr>
              <w:t xml:space="preserve">регионального </w:t>
            </w:r>
            <w:r w:rsidRPr="00AE7235">
              <w:rPr>
                <w:sz w:val="24"/>
              </w:rPr>
              <w:t>проекта</w:t>
            </w:r>
          </w:p>
        </w:tc>
        <w:tc>
          <w:tcPr>
            <w:tcW w:w="2713" w:type="dxa"/>
          </w:tcPr>
          <w:p w:rsidR="00C31509" w:rsidRPr="00AE7235" w:rsidRDefault="00940E98">
            <w:pPr>
              <w:spacing w:line="240" w:lineRule="auto"/>
              <w:jc w:val="center"/>
              <w:rPr>
                <w:sz w:val="24"/>
              </w:rPr>
            </w:pPr>
            <w:r w:rsidRPr="00AE7235">
              <w:rPr>
                <w:sz w:val="24"/>
              </w:rPr>
              <w:t>«Социальная активность»</w:t>
            </w:r>
          </w:p>
        </w:tc>
        <w:tc>
          <w:tcPr>
            <w:tcW w:w="3787" w:type="dxa"/>
          </w:tcPr>
          <w:p w:rsidR="00C31509" w:rsidRPr="00AE7235" w:rsidRDefault="00817E14">
            <w:pPr>
              <w:spacing w:line="240" w:lineRule="auto"/>
              <w:jc w:val="center"/>
              <w:rPr>
                <w:sz w:val="24"/>
              </w:rPr>
            </w:pPr>
            <w:r w:rsidRPr="00AE7235">
              <w:rPr>
                <w:sz w:val="24"/>
              </w:rPr>
              <w:t>Срок начала и окончания</w:t>
            </w:r>
          </w:p>
        </w:tc>
        <w:tc>
          <w:tcPr>
            <w:tcW w:w="3623" w:type="dxa"/>
          </w:tcPr>
          <w:p w:rsidR="00C31509" w:rsidRPr="00AE7235" w:rsidRDefault="00817E14">
            <w:pPr>
              <w:spacing w:line="240" w:lineRule="auto"/>
              <w:jc w:val="center"/>
              <w:rPr>
                <w:sz w:val="24"/>
              </w:rPr>
            </w:pPr>
            <w:r w:rsidRPr="00AE7235">
              <w:rPr>
                <w:sz w:val="24"/>
              </w:rPr>
              <w:t xml:space="preserve">1 января 2019 г. – </w:t>
            </w:r>
            <w:r w:rsidRPr="00AE7235">
              <w:rPr>
                <w:sz w:val="24"/>
              </w:rPr>
              <w:br/>
              <w:t>31 декабря 2024 г.</w:t>
            </w:r>
          </w:p>
        </w:tc>
      </w:tr>
      <w:tr w:rsidR="00B96DD8" w:rsidRPr="00AE7235" w:rsidTr="008C7E37">
        <w:tc>
          <w:tcPr>
            <w:tcW w:w="4665" w:type="dxa"/>
          </w:tcPr>
          <w:p w:rsidR="00B96DD8" w:rsidRPr="00AE7235" w:rsidRDefault="00B96DD8" w:rsidP="00B96DD8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AE7235" w:rsidRDefault="00AE7235" w:rsidP="008C7E3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</w:tr>
      <w:tr w:rsidR="00B96DD8" w:rsidRPr="00AE7235" w:rsidTr="008C7E37">
        <w:trPr>
          <w:trHeight w:val="189"/>
        </w:trPr>
        <w:tc>
          <w:tcPr>
            <w:tcW w:w="4665" w:type="dxa"/>
          </w:tcPr>
          <w:p w:rsidR="00B96DD8" w:rsidRPr="00AE7235" w:rsidRDefault="00B96DD8" w:rsidP="00B96DD8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AE7235" w:rsidRDefault="00AE7235" w:rsidP="004310C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Орлов А.Г., председатель комитета по молодежной политике Ленинградской области</w:t>
            </w:r>
          </w:p>
        </w:tc>
      </w:tr>
      <w:tr w:rsidR="00B96DD8" w:rsidRPr="00AE7235" w:rsidTr="008C7E37">
        <w:tc>
          <w:tcPr>
            <w:tcW w:w="4665" w:type="dxa"/>
          </w:tcPr>
          <w:p w:rsidR="00B96DD8" w:rsidRPr="00AE7235" w:rsidRDefault="00B96DD8" w:rsidP="00B96DD8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AE7235" w:rsidRDefault="00AE7235" w:rsidP="004310C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Бенера</w:t>
            </w:r>
            <w:proofErr w:type="spellEnd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И.А., заместитель </w:t>
            </w:r>
            <w:proofErr w:type="gramStart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председателя-начальник</w:t>
            </w:r>
            <w:proofErr w:type="gramEnd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отдела профилактики асоциального поведения молодежи комитета по молодежной политике Ленинградской области</w:t>
            </w:r>
          </w:p>
        </w:tc>
      </w:tr>
      <w:tr w:rsidR="00B96DD8" w:rsidRPr="00AE7235" w:rsidTr="008C7E37">
        <w:tc>
          <w:tcPr>
            <w:tcW w:w="4665" w:type="dxa"/>
          </w:tcPr>
          <w:p w:rsidR="00B96DD8" w:rsidRPr="00AE7235" w:rsidRDefault="00B96DD8" w:rsidP="00AE7235">
            <w:pPr>
              <w:spacing w:line="240" w:lineRule="auto"/>
              <w:jc w:val="left"/>
              <w:rPr>
                <w:sz w:val="24"/>
              </w:rPr>
            </w:pPr>
            <w:r w:rsidRPr="00AE7235">
              <w:rPr>
                <w:sz w:val="24"/>
              </w:rPr>
              <w:t xml:space="preserve">Связь с государственными программами </w:t>
            </w:r>
            <w:r w:rsidR="00AE7235" w:rsidRPr="00AE7235">
              <w:rPr>
                <w:sz w:val="24"/>
              </w:rPr>
              <w:t>Ленинградской области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AE7235" w:rsidRDefault="00AE7235" w:rsidP="008C7E3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E7235">
              <w:rPr>
                <w:sz w:val="24"/>
                <w:szCs w:val="24"/>
              </w:rPr>
              <w:t>Государственная программа Ленинградской области «Устойчивое общественное развитие в Ленинградской области», утвержденная постановлением Правительства Ленинградской области от 14 ноября 2013 года № 399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2. Цель и показатели </w:t>
      </w:r>
      <w:r w:rsidR="00B96DD8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 w:rsidP="00BA2A27">
      <w:pPr>
        <w:spacing w:line="240" w:lineRule="auto"/>
        <w:ind w:firstLine="720"/>
        <w:rPr>
          <w:color w:val="000000" w:themeColor="text1"/>
          <w:sz w:val="24"/>
        </w:rPr>
      </w:pPr>
      <w:r>
        <w:rPr>
          <w:sz w:val="24"/>
        </w:rPr>
        <w:t xml:space="preserve">Цель: </w:t>
      </w:r>
      <w:r w:rsidR="005E2893" w:rsidRPr="00E43CBE">
        <w:rPr>
          <w:color w:val="000000" w:themeColor="text1"/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940E98" w:rsidRDefault="00940E98" w:rsidP="00BA2A27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764"/>
        <w:gridCol w:w="1824"/>
        <w:gridCol w:w="1379"/>
        <w:gridCol w:w="1307"/>
        <w:gridCol w:w="754"/>
        <w:gridCol w:w="839"/>
        <w:gridCol w:w="754"/>
        <w:gridCol w:w="754"/>
        <w:gridCol w:w="754"/>
        <w:gridCol w:w="754"/>
        <w:gridCol w:w="38"/>
      </w:tblGrid>
      <w:tr w:rsidR="00876CF5" w:rsidTr="00474C3F">
        <w:trPr>
          <w:trHeight w:val="461"/>
        </w:trPr>
        <w:tc>
          <w:tcPr>
            <w:tcW w:w="707" w:type="dxa"/>
            <w:vMerge w:val="restart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64" w:type="dxa"/>
            <w:vMerge w:val="restart"/>
            <w:vAlign w:val="center"/>
          </w:tcPr>
          <w:p w:rsidR="00876CF5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47" w:type="dxa"/>
            <w:gridSpan w:val="7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DB2A2C" w:rsidTr="00474C3F">
        <w:trPr>
          <w:gridAfter w:val="1"/>
          <w:wAfter w:w="27" w:type="dxa"/>
          <w:trHeight w:val="451"/>
        </w:trPr>
        <w:tc>
          <w:tcPr>
            <w:tcW w:w="707" w:type="dxa"/>
            <w:vMerge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vMerge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B2A2C" w:rsidTr="00474C3F">
        <w:trPr>
          <w:gridAfter w:val="1"/>
          <w:wAfter w:w="27" w:type="dxa"/>
        </w:trPr>
        <w:tc>
          <w:tcPr>
            <w:tcW w:w="707" w:type="dxa"/>
          </w:tcPr>
          <w:p w:rsidR="00BA2A27" w:rsidRDefault="00BA2A2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BA2A27" w:rsidRPr="0080672E" w:rsidRDefault="00BA2A27" w:rsidP="00940E98">
            <w:pPr>
              <w:spacing w:line="240" w:lineRule="auto"/>
              <w:ind w:left="115" w:right="144"/>
              <w:rPr>
                <w:rFonts w:eastAsia="Arial Unicode MS"/>
                <w:color w:val="FF0000"/>
                <w:sz w:val="24"/>
                <w:szCs w:val="24"/>
              </w:rPr>
            </w:pPr>
            <w:r w:rsidRPr="003D6EFE">
              <w:rPr>
                <w:rFonts w:eastAsia="Arial Unicode MS"/>
                <w:bCs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  <w:tc>
          <w:tcPr>
            <w:tcW w:w="0" w:type="auto"/>
            <w:vAlign w:val="center"/>
          </w:tcPr>
          <w:p w:rsidR="00BA2A27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BA2A27" w:rsidRPr="00DB2A2C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B2A2C">
              <w:rPr>
                <w:sz w:val="24"/>
              </w:rPr>
              <w:t>,008</w:t>
            </w:r>
          </w:p>
        </w:tc>
        <w:tc>
          <w:tcPr>
            <w:tcW w:w="0" w:type="auto"/>
            <w:vAlign w:val="center"/>
          </w:tcPr>
          <w:p w:rsidR="00BA2A27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BA2A27" w:rsidRPr="00DB2A2C" w:rsidRDefault="009830F4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</w:t>
            </w:r>
            <w:r w:rsidR="00DB2A2C"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A2A27" w:rsidRPr="00DB2A2C" w:rsidRDefault="003D6EFE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</w:t>
            </w:r>
            <w:r w:rsidR="00DB2A2C">
              <w:rPr>
                <w:sz w:val="24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BA2A27" w:rsidRPr="00DB2A2C" w:rsidRDefault="003D6EFE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</w:t>
            </w:r>
            <w:r w:rsidR="00DB2A2C"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BA2A27" w:rsidRPr="00DB2A2C" w:rsidRDefault="003D6EFE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</w:t>
            </w:r>
            <w:r w:rsidR="00DB2A2C">
              <w:rPr>
                <w:sz w:val="24"/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A2A27" w:rsidRPr="00DB2A2C" w:rsidRDefault="003D6EFE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</w:t>
            </w:r>
            <w:r w:rsidR="00DB2A2C">
              <w:rPr>
                <w:sz w:val="24"/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BA2A27" w:rsidRPr="00DB2A2C" w:rsidRDefault="003D6EFE" w:rsidP="00876CF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</w:t>
            </w:r>
            <w:r w:rsidR="00DB2A2C">
              <w:rPr>
                <w:sz w:val="24"/>
                <w:lang w:val="en-US"/>
              </w:rPr>
              <w:t>08</w:t>
            </w:r>
          </w:p>
        </w:tc>
      </w:tr>
      <w:tr w:rsidR="00DB2A2C" w:rsidTr="00474C3F">
        <w:trPr>
          <w:gridAfter w:val="1"/>
          <w:wAfter w:w="27" w:type="dxa"/>
          <w:trHeight w:val="829"/>
        </w:trPr>
        <w:tc>
          <w:tcPr>
            <w:tcW w:w="707" w:type="dxa"/>
          </w:tcPr>
          <w:p w:rsidR="00474C3F" w:rsidRDefault="00474C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474C3F" w:rsidRPr="00636FB9" w:rsidRDefault="00474C3F" w:rsidP="00940E98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636FB9">
              <w:rPr>
                <w:rFonts w:eastAsia="Arial Unicode MS"/>
                <w:color w:val="000000" w:themeColor="text1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0" w:type="auto"/>
            <w:vAlign w:val="center"/>
          </w:tcPr>
          <w:p w:rsidR="00474C3F" w:rsidRDefault="00474C3F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DB2A2C" w:rsidTr="00474C3F">
        <w:trPr>
          <w:gridAfter w:val="1"/>
          <w:wAfter w:w="27" w:type="dxa"/>
        </w:trPr>
        <w:tc>
          <w:tcPr>
            <w:tcW w:w="707" w:type="dxa"/>
          </w:tcPr>
          <w:p w:rsidR="00474C3F" w:rsidRDefault="00474C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4" w:type="dxa"/>
            <w:vAlign w:val="center"/>
          </w:tcPr>
          <w:p w:rsidR="00474C3F" w:rsidRPr="00636FB9" w:rsidRDefault="00474C3F" w:rsidP="005D0600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636FB9"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 w:rsidRPr="00636FB9">
              <w:rPr>
                <w:color w:val="000000" w:themeColor="text1"/>
                <w:sz w:val="24"/>
              </w:rPr>
              <w:t>задействованной в мероприятиях по вовлечению в творческую деятельность, от общего числа молодежи в субъекте Российской Федерации, %</w:t>
            </w:r>
          </w:p>
        </w:tc>
        <w:tc>
          <w:tcPr>
            <w:tcW w:w="0" w:type="auto"/>
            <w:vAlign w:val="center"/>
          </w:tcPr>
          <w:p w:rsidR="00474C3F" w:rsidRDefault="00474C3F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45</w:t>
            </w:r>
          </w:p>
        </w:tc>
      </w:tr>
      <w:tr w:rsidR="00DB2A2C" w:rsidTr="00474C3F">
        <w:trPr>
          <w:gridAfter w:val="1"/>
          <w:wAfter w:w="27" w:type="dxa"/>
        </w:trPr>
        <w:tc>
          <w:tcPr>
            <w:tcW w:w="707" w:type="dxa"/>
          </w:tcPr>
          <w:p w:rsidR="00474C3F" w:rsidRDefault="00474C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4" w:type="dxa"/>
            <w:vAlign w:val="center"/>
          </w:tcPr>
          <w:p w:rsidR="00474C3F" w:rsidRPr="00474C3F" w:rsidRDefault="00474C3F" w:rsidP="005D0600">
            <w:pPr>
              <w:spacing w:line="240" w:lineRule="auto"/>
              <w:ind w:left="114" w:right="144"/>
              <w:rPr>
                <w:rFonts w:eastAsia="Arial Unicode MS"/>
                <w:sz w:val="24"/>
                <w:szCs w:val="24"/>
                <w:highlight w:val="yellow"/>
              </w:rPr>
            </w:pPr>
            <w:r w:rsidRPr="00474C3F">
              <w:rPr>
                <w:rFonts w:eastAsia="Arial Unicode MS"/>
                <w:sz w:val="24"/>
              </w:rPr>
              <w:t>Доля студентов, вовлеченных в клубное студенческое движение, от общего числа студентов субъекта Российской Федерации, %</w:t>
            </w:r>
          </w:p>
        </w:tc>
        <w:tc>
          <w:tcPr>
            <w:tcW w:w="0" w:type="auto"/>
            <w:vAlign w:val="center"/>
          </w:tcPr>
          <w:p w:rsidR="00474C3F" w:rsidRDefault="00474C3F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0" w:type="auto"/>
            <w:vAlign w:val="center"/>
          </w:tcPr>
          <w:p w:rsidR="00474C3F" w:rsidRDefault="00474C3F" w:rsidP="009830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0" w:type="auto"/>
            <w:vAlign w:val="center"/>
          </w:tcPr>
          <w:p w:rsidR="00474C3F" w:rsidRPr="00E43CBE" w:rsidRDefault="00474C3F" w:rsidP="009830F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70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Задачи и результаты </w:t>
      </w:r>
      <w:r w:rsidR="008C7E37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4817" w:type="dxa"/>
        <w:tblInd w:w="-108" w:type="dxa"/>
        <w:tblLook w:val="0000" w:firstRow="0" w:lastRow="0" w:firstColumn="0" w:lastColumn="0" w:noHBand="0" w:noVBand="0"/>
      </w:tblPr>
      <w:tblGrid>
        <w:gridCol w:w="959"/>
        <w:gridCol w:w="7195"/>
        <w:gridCol w:w="6663"/>
      </w:tblGrid>
      <w:tr w:rsidR="00C31509" w:rsidRPr="005E2893" w:rsidTr="000D78B7">
        <w:trPr>
          <w:trHeight w:val="43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5E2893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№ </w:t>
            </w:r>
          </w:p>
          <w:p w:rsidR="00C31509" w:rsidRPr="005E2893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E2893">
              <w:rPr>
                <w:sz w:val="24"/>
                <w:szCs w:val="24"/>
              </w:rPr>
              <w:t>п</w:t>
            </w:r>
            <w:proofErr w:type="gramEnd"/>
            <w:r w:rsidRPr="005E2893">
              <w:rPr>
                <w:sz w:val="24"/>
                <w:szCs w:val="24"/>
              </w:rPr>
              <w:t>/п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5E2893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5E2893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C31509" w:rsidRPr="005E2893" w:rsidTr="000D78B7">
        <w:tc>
          <w:tcPr>
            <w:tcW w:w="959" w:type="dxa"/>
            <w:tcBorders>
              <w:top w:val="single" w:sz="4" w:space="0" w:color="auto"/>
            </w:tcBorders>
          </w:tcPr>
          <w:p w:rsidR="00C31509" w:rsidRPr="000D78B7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78B7">
              <w:rPr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2"/>
            <w:tcBorders>
              <w:top w:val="single" w:sz="4" w:space="0" w:color="auto"/>
            </w:tcBorders>
          </w:tcPr>
          <w:p w:rsidR="00C31509" w:rsidRDefault="00BA2A2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D78B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D78B7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B34795" w:rsidRPr="000D78B7" w:rsidRDefault="00B34795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1.1.</w:t>
            </w:r>
          </w:p>
        </w:tc>
        <w:tc>
          <w:tcPr>
            <w:tcW w:w="7195" w:type="dxa"/>
            <w:shd w:val="clear" w:color="auto" w:fill="auto"/>
          </w:tcPr>
          <w:p w:rsidR="000724A7" w:rsidRPr="00395661" w:rsidRDefault="000724A7" w:rsidP="00395661">
            <w:pPr>
              <w:spacing w:line="240" w:lineRule="auto"/>
              <w:rPr>
                <w:sz w:val="24"/>
                <w:szCs w:val="24"/>
              </w:rPr>
            </w:pPr>
            <w:r w:rsidRPr="00395661">
              <w:rPr>
                <w:iCs/>
                <w:sz w:val="22"/>
                <w:szCs w:val="22"/>
              </w:rPr>
              <w:t xml:space="preserve">Создание и обеспечение функционирования одного </w:t>
            </w:r>
            <w:r w:rsidRPr="00395661">
              <w:rPr>
                <w:sz w:val="22"/>
                <w:szCs w:val="22"/>
              </w:rPr>
              <w:t>ресурсного центра по поддержке добровольчества (волонтерства) в сфере культуры безопасности и ЧС</w:t>
            </w:r>
            <w:r w:rsidRPr="00395661">
              <w:rPr>
                <w:rStyle w:val="ad"/>
                <w:sz w:val="24"/>
                <w:szCs w:val="24"/>
              </w:rPr>
              <w:t xml:space="preserve"> </w:t>
            </w:r>
            <w:r w:rsidRPr="00395661">
              <w:rPr>
                <w:rStyle w:val="ad"/>
                <w:sz w:val="24"/>
                <w:szCs w:val="24"/>
              </w:rPr>
              <w:footnoteReference w:id="1"/>
            </w:r>
            <w:r w:rsidRPr="00395661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Разработан типовой регламент деятельности ресурсного центра по поддержке добровольчества (волонтерства) в сфере культуры безопасности и ЧС. </w:t>
            </w:r>
          </w:p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Создано НКО. Найдено и отремонтировано помещение. Закуплено </w:t>
            </w:r>
            <w:proofErr w:type="gramStart"/>
            <w:r w:rsidRPr="007A1B86">
              <w:rPr>
                <w:color w:val="000000" w:themeColor="text1"/>
                <w:sz w:val="24"/>
              </w:rPr>
              <w:t>необходимое</w:t>
            </w:r>
            <w:proofErr w:type="gramEnd"/>
            <w:r w:rsidRPr="007A1B86">
              <w:rPr>
                <w:color w:val="000000" w:themeColor="text1"/>
                <w:sz w:val="24"/>
              </w:rPr>
              <w:t xml:space="preserve"> МТО, подготовлена материально-техническая база в соответствии с рекомендациями по созда</w:t>
            </w:r>
            <w:r w:rsidR="009B02C9">
              <w:rPr>
                <w:color w:val="000000" w:themeColor="text1"/>
                <w:sz w:val="24"/>
              </w:rPr>
              <w:t>ни</w:t>
            </w:r>
            <w:r w:rsidRPr="007A1B86">
              <w:rPr>
                <w:color w:val="000000" w:themeColor="text1"/>
                <w:sz w:val="24"/>
              </w:rPr>
              <w:t xml:space="preserve">ю ресурсного центра в сфере ЧС. </w:t>
            </w:r>
          </w:p>
          <w:p w:rsidR="000724A7" w:rsidRPr="007A1B86" w:rsidRDefault="000724A7" w:rsidP="00AE7235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Разработан и утвержден план мероприятий центра </w:t>
            </w:r>
            <w:r w:rsidRPr="007A1B86">
              <w:rPr>
                <w:color w:val="000000" w:themeColor="text1"/>
                <w:sz w:val="24"/>
              </w:rPr>
              <w:br/>
              <w:t xml:space="preserve">до 2024 года с учетом федеральных программ «Волонтер безопасности» и программы подготовки спасателей, а также </w:t>
            </w:r>
            <w:r w:rsidRPr="007A1B86">
              <w:rPr>
                <w:color w:val="000000" w:themeColor="text1"/>
                <w:sz w:val="24"/>
              </w:rPr>
              <w:br/>
              <w:t xml:space="preserve">с учетом ключевых показателей эффективности, указанных </w:t>
            </w:r>
            <w:r w:rsidRPr="007A1B86">
              <w:rPr>
                <w:color w:val="000000" w:themeColor="text1"/>
                <w:sz w:val="24"/>
              </w:rPr>
              <w:br/>
              <w:t xml:space="preserve"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Подготовлена отчетная документация.  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1.2.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iCs/>
                <w:color w:val="000000"/>
                <w:sz w:val="24"/>
                <w:szCs w:val="24"/>
              </w:rPr>
              <w:t>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Разработана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(волонтерства), реализуемым в субъектах Российской Федерации, по широкому спектру направлений добровольческой (волонтерской) деятельности. 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1F2344">
            <w:pPr>
              <w:spacing w:line="240" w:lineRule="auto"/>
              <w:rPr>
                <w:iCs/>
                <w:sz w:val="24"/>
                <w:szCs w:val="24"/>
              </w:rPr>
            </w:pPr>
            <w:r w:rsidRPr="005E2893">
              <w:rPr>
                <w:iCs/>
                <w:sz w:val="24"/>
                <w:szCs w:val="24"/>
              </w:rPr>
              <w:t xml:space="preserve">Под руководством </w:t>
            </w:r>
            <w:r w:rsidR="0080672E">
              <w:rPr>
                <w:iCs/>
                <w:sz w:val="24"/>
                <w:szCs w:val="24"/>
              </w:rPr>
              <w:t>председателя Правительства Ленинградской области</w:t>
            </w:r>
            <w:r w:rsidRPr="005E2893">
              <w:rPr>
                <w:iCs/>
                <w:sz w:val="24"/>
                <w:szCs w:val="24"/>
              </w:rPr>
              <w:t xml:space="preserve"> или его заместителя создан межведомственный орган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E2893">
              <w:rPr>
                <w:iCs/>
                <w:sz w:val="24"/>
                <w:szCs w:val="24"/>
              </w:rPr>
              <w:t xml:space="preserve">по </w:t>
            </w:r>
            <w:r w:rsidRPr="005E2893">
              <w:rPr>
                <w:iCs/>
                <w:sz w:val="24"/>
                <w:szCs w:val="24"/>
              </w:rPr>
              <w:lastRenderedPageBreak/>
              <w:t xml:space="preserve">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</w:t>
            </w:r>
            <w:r w:rsidR="00A556E0">
              <w:rPr>
                <w:iCs/>
                <w:sz w:val="24"/>
                <w:szCs w:val="24"/>
              </w:rPr>
              <w:t>Ленинградской области</w:t>
            </w:r>
            <w:r w:rsidRPr="005E2893">
              <w:rPr>
                <w:iCs/>
                <w:sz w:val="24"/>
                <w:szCs w:val="24"/>
              </w:rPr>
              <w:t xml:space="preserve"> и других заинтересованных лиц</w:t>
            </w:r>
          </w:p>
          <w:p w:rsidR="000724A7" w:rsidRPr="005E2893" w:rsidRDefault="000724A7" w:rsidP="001F2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556E0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lastRenderedPageBreak/>
              <w:t xml:space="preserve">Создан межведомственный орган по развитию добровольчества с участием представителей региональных </w:t>
            </w:r>
            <w:r w:rsidRPr="007A1B86">
              <w:rPr>
                <w:iCs/>
                <w:color w:val="000000" w:themeColor="text1"/>
                <w:sz w:val="24"/>
              </w:rPr>
              <w:lastRenderedPageBreak/>
              <w:t xml:space="preserve">органов государственной власти, некоммерческих, образовательных, добровольческих организаций </w:t>
            </w:r>
            <w:r w:rsidRPr="007A1B86">
              <w:rPr>
                <w:iCs/>
                <w:color w:val="000000" w:themeColor="text1"/>
                <w:sz w:val="24"/>
              </w:rPr>
              <w:br/>
              <w:t xml:space="preserve">и объединений, осуществляющих работу с волонтерами </w:t>
            </w:r>
            <w:r w:rsidRPr="007A1B86">
              <w:rPr>
                <w:iCs/>
                <w:color w:val="000000" w:themeColor="text1"/>
                <w:sz w:val="24"/>
              </w:rPr>
              <w:br/>
              <w:t xml:space="preserve">по различным направлениям, Общественной Палаты </w:t>
            </w:r>
            <w:r w:rsidR="00A556E0">
              <w:rPr>
                <w:iCs/>
                <w:color w:val="000000" w:themeColor="text1"/>
                <w:sz w:val="24"/>
              </w:rPr>
              <w:t>Ленинградской области</w:t>
            </w:r>
            <w:r w:rsidRPr="007A1B86">
              <w:rPr>
                <w:iCs/>
                <w:color w:val="000000" w:themeColor="text1"/>
                <w:sz w:val="24"/>
              </w:rPr>
              <w:t xml:space="preserve"> и других заинтересованных лиц.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0724A7" w:rsidRPr="005E2893" w:rsidRDefault="000724A7" w:rsidP="005E28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Внесены изменения в части поддержки добровольчества </w:t>
            </w:r>
            <w:r w:rsidRPr="007A1B86">
              <w:rPr>
                <w:color w:val="000000" w:themeColor="text1"/>
                <w:sz w:val="24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0724A7" w:rsidRPr="007A1B86" w:rsidRDefault="000724A7" w:rsidP="0080672E">
            <w:pPr>
              <w:spacing w:line="240" w:lineRule="auto"/>
              <w:rPr>
                <w:color w:val="000000" w:themeColor="text1"/>
                <w:sz w:val="24"/>
              </w:rPr>
            </w:pPr>
            <w:proofErr w:type="gramStart"/>
            <w:r w:rsidRPr="007A1B86">
              <w:rPr>
                <w:color w:val="000000" w:themeColor="text1"/>
                <w:sz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7A1B86">
              <w:rPr>
                <w:iCs/>
                <w:color w:val="000000" w:themeColor="text1"/>
                <w:sz w:val="24"/>
              </w:rPr>
              <w:t xml:space="preserve">Постановлением Правительства Российской Федерации </w:t>
            </w:r>
            <w:r w:rsidRPr="007A1B86">
              <w:rPr>
                <w:color w:val="000000" w:themeColor="text1"/>
                <w:sz w:val="24"/>
              </w:rPr>
              <w:t xml:space="preserve">от 28.112018 № 1425 «Об утверждении общих требований к порядку взаимодействия федеральных органов исполнительной власти, органов исполнительной власти </w:t>
            </w:r>
            <w:r w:rsidR="0080672E">
              <w:rPr>
                <w:color w:val="000000" w:themeColor="text1"/>
                <w:sz w:val="24"/>
              </w:rPr>
              <w:t>Ленинградской области</w:t>
            </w:r>
            <w:r w:rsidRPr="007A1B86">
              <w:rPr>
                <w:color w:val="000000" w:themeColor="text1"/>
                <w:sz w:val="24"/>
              </w:rPr>
              <w:t>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</w:t>
            </w:r>
            <w:proofErr w:type="gramEnd"/>
            <w:r w:rsidRPr="007A1B86">
              <w:rPr>
                <w:color w:val="000000" w:themeColor="text1"/>
                <w:sz w:val="24"/>
              </w:rPr>
              <w:t xml:space="preserve">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1.5.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5E2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 w:rsidRPr="007A1B86">
              <w:rPr>
                <w:color w:val="000000" w:themeColor="text1"/>
                <w:sz w:val="24"/>
              </w:rPr>
              <w:t xml:space="preserve"> </w:t>
            </w:r>
            <w:r w:rsidRPr="007A1B86">
              <w:rPr>
                <w:color w:val="000000" w:themeColor="text1"/>
                <w:sz w:val="24"/>
              </w:rPr>
              <w:lastRenderedPageBreak/>
              <w:t xml:space="preserve">«Ресурсные центры» </w:t>
            </w:r>
            <w:r w:rsidRPr="007A1B86">
              <w:rPr>
                <w:iCs/>
                <w:color w:val="000000" w:themeColor="text1"/>
                <w:sz w:val="24"/>
              </w:rPr>
              <w:t>Ассоциации волонтерских центров, а также сети муниципальных добровольческих центров.</w:t>
            </w:r>
          </w:p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Проведена информационная кампания о работе  регионального ресурсного центра в регионе среди образовательных организаций, НКО, органов государственной власти и других заинтересованных лиц и организаций. Работа 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636FB9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</w:t>
            </w:r>
            <w:r w:rsidR="0080672E" w:rsidRPr="0080672E">
              <w:rPr>
                <w:rFonts w:eastAsia="Calibri"/>
                <w:sz w:val="24"/>
                <w:szCs w:val="24"/>
              </w:rPr>
              <w:t>540 000</w:t>
            </w:r>
            <w:r w:rsidRPr="0080672E">
              <w:rPr>
                <w:rFonts w:eastAsia="Calibri"/>
                <w:sz w:val="24"/>
                <w:szCs w:val="24"/>
              </w:rPr>
              <w:t xml:space="preserve"> граждан </w:t>
            </w:r>
            <w:r w:rsidR="002F51B3" w:rsidRPr="0080672E">
              <w:rPr>
                <w:rFonts w:eastAsia="Calibri"/>
                <w:sz w:val="24"/>
                <w:szCs w:val="24"/>
              </w:rPr>
              <w:t>Ленинградской области</w:t>
            </w:r>
            <w:r w:rsidRPr="0080672E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636FB9">
              <w:rPr>
                <w:rFonts w:eastAsia="Calibri"/>
                <w:sz w:val="24"/>
                <w:szCs w:val="24"/>
              </w:rPr>
              <w:t xml:space="preserve">Не менее </w:t>
            </w:r>
            <w:r w:rsidR="00636FB9" w:rsidRPr="00636FB9">
              <w:rPr>
                <w:rFonts w:eastAsia="Calibri"/>
                <w:sz w:val="24"/>
                <w:szCs w:val="24"/>
              </w:rPr>
              <w:t>315</w:t>
            </w:r>
            <w:r w:rsidRPr="00636FB9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</w:t>
            </w:r>
            <w:r w:rsidRPr="005E2893">
              <w:rPr>
                <w:rFonts w:eastAsia="Calibri"/>
                <w:sz w:val="24"/>
                <w:szCs w:val="24"/>
              </w:rPr>
              <w:t xml:space="preserve">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>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r w:rsidRPr="005E2893">
              <w:rPr>
                <w:rStyle w:val="ad"/>
                <w:rFonts w:eastAsia="Calibri"/>
                <w:sz w:val="24"/>
                <w:szCs w:val="24"/>
              </w:rPr>
              <w:footnoteReference w:id="2"/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Содействие в развитии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Оказывается содействие в реализации мероприятий </w:t>
            </w:r>
            <w:r w:rsidRPr="007A1B86">
              <w:rPr>
                <w:color w:val="000000" w:themeColor="text1"/>
                <w:sz w:val="24"/>
                <w:szCs w:val="28"/>
              </w:rPr>
              <w:br/>
              <w:t xml:space="preserve">по продвижению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>Обеспечено продвижение единой информационной платформы в</w:t>
            </w:r>
            <w:r w:rsidR="002F51B3">
              <w:rPr>
                <w:color w:val="000000" w:themeColor="text1"/>
                <w:sz w:val="24"/>
                <w:szCs w:val="28"/>
              </w:rPr>
              <w:t xml:space="preserve"> средствах массовой информации Ленинградской области</w:t>
            </w:r>
            <w:r w:rsidRPr="007A1B86">
              <w:rPr>
                <w:color w:val="000000" w:themeColor="text1"/>
                <w:sz w:val="24"/>
                <w:szCs w:val="28"/>
              </w:rPr>
              <w:t>, выпуск специализированных информационных и образовательных передач для добровольцев (волонтеров).</w:t>
            </w:r>
          </w:p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7A1B86">
              <w:rPr>
                <w:color w:val="000000" w:themeColor="text1"/>
                <w:sz w:val="24"/>
                <w:szCs w:val="28"/>
              </w:rPr>
              <w:t xml:space="preserve"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</w:t>
            </w:r>
            <w:r w:rsidRPr="007A1B86">
              <w:rPr>
                <w:color w:val="000000" w:themeColor="text1"/>
                <w:sz w:val="24"/>
              </w:rPr>
              <w:t xml:space="preserve">единой информационной системы в сфере </w:t>
            </w:r>
            <w:r w:rsidRPr="007A1B86">
              <w:rPr>
                <w:color w:val="000000" w:themeColor="text1"/>
                <w:sz w:val="24"/>
              </w:rPr>
              <w:lastRenderedPageBreak/>
              <w:t>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и ее учета приемными комиссиями образовательных организаций.</w:t>
            </w:r>
            <w:proofErr w:type="gramEnd"/>
            <w:r w:rsidRPr="007A1B86">
              <w:rPr>
                <w:color w:val="000000" w:themeColor="text1"/>
                <w:sz w:val="24"/>
                <w:szCs w:val="28"/>
              </w:rPr>
              <w:t xml:space="preserve">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530F9C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</w:t>
            </w:r>
            <w:r w:rsidRPr="00530F9C">
              <w:rPr>
                <w:rFonts w:eastAsia="Calibri"/>
                <w:sz w:val="24"/>
                <w:szCs w:val="24"/>
              </w:rPr>
              <w:t xml:space="preserve">в не менее чем </w:t>
            </w:r>
            <w:r w:rsidR="00530F9C">
              <w:rPr>
                <w:rFonts w:eastAsia="Calibri"/>
                <w:sz w:val="24"/>
                <w:szCs w:val="24"/>
              </w:rPr>
              <w:t>13</w:t>
            </w:r>
            <w:r w:rsidRPr="00530F9C">
              <w:rPr>
                <w:rFonts w:eastAsia="Calibri"/>
                <w:sz w:val="24"/>
                <w:szCs w:val="24"/>
              </w:rPr>
              <w:t xml:space="preserve"> образовательных организаций среднего</w:t>
            </w:r>
            <w:r w:rsidR="00530F9C">
              <w:rPr>
                <w:rFonts w:eastAsia="Calibri"/>
                <w:sz w:val="24"/>
                <w:szCs w:val="24"/>
              </w:rPr>
              <w:t xml:space="preserve"> профессионального</w:t>
            </w:r>
            <w:r w:rsidRPr="00530F9C">
              <w:rPr>
                <w:rFonts w:eastAsia="Calibri"/>
                <w:sz w:val="24"/>
                <w:szCs w:val="24"/>
              </w:rPr>
              <w:t xml:space="preserve"> образования.</w:t>
            </w:r>
            <w:r w:rsidRPr="00530F9C">
              <w:rPr>
                <w:rStyle w:val="ad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530F9C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rFonts w:eastAsia="Calibri"/>
                <w:color w:val="000000" w:themeColor="text1"/>
                <w:sz w:val="24"/>
              </w:rPr>
              <w:t xml:space="preserve">Не менее двух раз в год проводятся уроки, посвящённые социальной активности и добровольчеству </w:t>
            </w:r>
            <w:r w:rsidRPr="00530F9C">
              <w:rPr>
                <w:rFonts w:eastAsia="Calibri"/>
                <w:sz w:val="24"/>
              </w:rPr>
              <w:t xml:space="preserve">не менее чем в </w:t>
            </w:r>
            <w:r w:rsidR="00530F9C">
              <w:rPr>
                <w:rFonts w:eastAsia="Calibri"/>
                <w:sz w:val="24"/>
              </w:rPr>
              <w:t>13</w:t>
            </w:r>
            <w:r w:rsidRPr="00530F9C">
              <w:rPr>
                <w:rFonts w:eastAsia="Calibri"/>
                <w:sz w:val="24"/>
              </w:rPr>
              <w:t xml:space="preserve"> образовательных организаций среднего </w:t>
            </w:r>
            <w:r w:rsidR="00530F9C">
              <w:rPr>
                <w:rFonts w:eastAsia="Calibri"/>
                <w:sz w:val="24"/>
              </w:rPr>
              <w:t xml:space="preserve">профессионального </w:t>
            </w:r>
            <w:r w:rsidRPr="00530F9C">
              <w:rPr>
                <w:rFonts w:eastAsia="Calibri"/>
                <w:sz w:val="24"/>
              </w:rPr>
              <w:t>образования.</w:t>
            </w:r>
            <w:r w:rsidRPr="007A1B86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7A1B86">
              <w:rPr>
                <w:color w:val="000000" w:themeColor="text1"/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1.8.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746F96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На базе не менее чем в 70% образовательных организаций </w:t>
            </w:r>
            <w:r w:rsidR="00746F96">
              <w:rPr>
                <w:rFonts w:eastAsia="Calibri"/>
                <w:sz w:val="24"/>
                <w:szCs w:val="24"/>
              </w:rPr>
              <w:t>общего</w:t>
            </w:r>
            <w:r w:rsidRPr="005E2893">
              <w:rPr>
                <w:rFonts w:eastAsia="Calibri"/>
                <w:sz w:val="24"/>
                <w:szCs w:val="24"/>
              </w:rPr>
              <w:t>, среднего профессионального и высшего образования функционируют волонтерские центры</w:t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746F96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rFonts w:eastAsia="Calibri"/>
                <w:color w:val="000000" w:themeColor="text1"/>
              </w:rPr>
              <w:t xml:space="preserve">Не менее чем в 70% образовательных организаций </w:t>
            </w:r>
            <w:r w:rsidR="00746F96">
              <w:rPr>
                <w:rFonts w:eastAsia="Calibri"/>
                <w:color w:val="000000" w:themeColor="text1"/>
              </w:rPr>
              <w:t>общего</w:t>
            </w:r>
            <w:r w:rsidRPr="007A1B86">
              <w:rPr>
                <w:rFonts w:eastAsia="Calibri"/>
                <w:color w:val="000000" w:themeColor="text1"/>
              </w:rPr>
              <w:t xml:space="preserve">, среднего профессионального и высшего образования функционируют волонтерские центры, способствующие  </w:t>
            </w:r>
            <w:r w:rsidRPr="007A1B86">
              <w:rPr>
                <w:color w:val="000000" w:themeColor="text1"/>
                <w:szCs w:val="24"/>
              </w:rPr>
              <w:t xml:space="preserve">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</w:t>
            </w:r>
            <w:r w:rsidRPr="006B2057">
              <w:rPr>
                <w:szCs w:val="24"/>
              </w:rPr>
              <w:t xml:space="preserve">в университете </w:t>
            </w:r>
            <w:r w:rsidRPr="007A1B86">
              <w:rPr>
                <w:color w:val="000000" w:themeColor="text1"/>
                <w:szCs w:val="24"/>
              </w:rPr>
              <w:t>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В 50% образовательных организациях </w:t>
            </w:r>
            <w:r w:rsidR="00746F96">
              <w:rPr>
                <w:rFonts w:eastAsia="Calibri"/>
                <w:sz w:val="24"/>
                <w:szCs w:val="24"/>
              </w:rPr>
              <w:t>общего</w:t>
            </w:r>
            <w:r w:rsidRPr="005E2893">
              <w:rPr>
                <w:rFonts w:eastAsia="Calibri"/>
                <w:sz w:val="24"/>
                <w:szCs w:val="24"/>
              </w:rPr>
              <w:t xml:space="preserve"> образования внедрена целевая модель школьного волонтерского отряда, а также </w:t>
            </w:r>
            <w:r w:rsidRPr="005E2893">
              <w:rPr>
                <w:rFonts w:eastAsia="Calibri"/>
                <w:sz w:val="24"/>
                <w:szCs w:val="24"/>
              </w:rPr>
              <w:lastRenderedPageBreak/>
              <w:t>осуществляется поддержка социальных проектов, реализуемых детьми и подростками до 18 лет</w:t>
            </w:r>
          </w:p>
          <w:p w:rsidR="000724A7" w:rsidRPr="005E2893" w:rsidRDefault="000724A7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  <w:r w:rsidRPr="007A1B86">
              <w:rPr>
                <w:rFonts w:eastAsia="Calibri"/>
                <w:color w:val="000000" w:themeColor="text1"/>
              </w:rPr>
              <w:lastRenderedPageBreak/>
              <w:t xml:space="preserve">В 50% образовательных организаций </w:t>
            </w:r>
            <w:r w:rsidR="00746F96">
              <w:rPr>
                <w:rFonts w:eastAsia="Calibri"/>
                <w:color w:val="000000" w:themeColor="text1"/>
              </w:rPr>
              <w:t>общего</w:t>
            </w:r>
            <w:r w:rsidRPr="007A1B86">
              <w:rPr>
                <w:rFonts w:eastAsia="Calibri"/>
                <w:color w:val="000000" w:themeColor="text1"/>
              </w:rPr>
              <w:t xml:space="preserve"> образования внедрена целевая модель школьного волонтерского отряда в </w:t>
            </w:r>
            <w:r w:rsidRPr="007A1B86">
              <w:rPr>
                <w:rFonts w:eastAsia="Calibri"/>
                <w:color w:val="000000" w:themeColor="text1"/>
              </w:rPr>
              <w:lastRenderedPageBreak/>
              <w:t>соответствии с</w:t>
            </w:r>
            <w:r w:rsidR="002F51B3">
              <w:rPr>
                <w:rFonts w:eastAsia="Calibri"/>
                <w:color w:val="000000" w:themeColor="text1"/>
              </w:rPr>
              <w:t>о</w:t>
            </w:r>
            <w:r w:rsidRPr="007A1B86">
              <w:rPr>
                <w:rFonts w:eastAsia="Calibri"/>
                <w:color w:val="000000" w:themeColor="text1"/>
              </w:rPr>
              <w:t xml:space="preserve"> школьной моделью ООГДЮО «Российское движение школьников», а также осуществляется поддержка социальных проектов, реализуемых детьми и подростками до 18 лет </w:t>
            </w:r>
          </w:p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195" w:type="dxa"/>
            <w:shd w:val="clear" w:color="auto" w:fill="auto"/>
          </w:tcPr>
          <w:p w:rsidR="000724A7" w:rsidRPr="005E2893" w:rsidRDefault="000724A7" w:rsidP="002F51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В </w:t>
            </w:r>
            <w:r w:rsidR="002F51B3" w:rsidRPr="002F51B3">
              <w:rPr>
                <w:color w:val="000000"/>
                <w:sz w:val="24"/>
                <w:szCs w:val="24"/>
              </w:rPr>
              <w:t>Ленинградской области</w:t>
            </w:r>
            <w:r w:rsidRPr="005E2893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</w:t>
            </w:r>
            <w:r w:rsidR="002F51B3">
              <w:rPr>
                <w:rFonts w:eastAsia="Calibri"/>
                <w:sz w:val="24"/>
                <w:szCs w:val="24"/>
              </w:rPr>
              <w:t>Ленинградской области</w:t>
            </w:r>
            <w:r w:rsidRPr="005E2893">
              <w:rPr>
                <w:rFonts w:eastAsia="Calibri"/>
                <w:sz w:val="24"/>
                <w:szCs w:val="24"/>
              </w:rPr>
              <w:t xml:space="preserve">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="002F51B3">
              <w:rPr>
                <w:rFonts w:eastAsia="Calibri"/>
                <w:sz w:val="24"/>
                <w:szCs w:val="24"/>
              </w:rPr>
              <w:t>Ленинградской области</w:t>
            </w:r>
            <w:r w:rsidRPr="005E2893">
              <w:rPr>
                <w:rFonts w:eastAsia="Calibri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  <w:r w:rsidRPr="007A1B86">
              <w:rPr>
                <w:rFonts w:eastAsia="Calibri"/>
                <w:color w:val="000000" w:themeColor="text1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</w:t>
            </w:r>
            <w:r w:rsidRPr="007A1B86">
              <w:rPr>
                <w:rFonts w:eastAsia="Calibri"/>
                <w:color w:val="000000" w:themeColor="text1"/>
              </w:rPr>
              <w:br/>
              <w:t xml:space="preserve">и предусматривающая участие волонтеров </w:t>
            </w:r>
            <w:r w:rsidR="002F51B3">
              <w:rPr>
                <w:rFonts w:eastAsia="Calibri"/>
                <w:color w:val="000000" w:themeColor="text1"/>
              </w:rPr>
              <w:t>Ленинградской области</w:t>
            </w:r>
            <w:r w:rsidRPr="007A1B86">
              <w:rPr>
                <w:rFonts w:eastAsia="Calibri"/>
                <w:color w:val="000000" w:themeColor="text1"/>
              </w:rPr>
              <w:t xml:space="preserve"> в федеральной программе повышения мобильности волонтеров.</w:t>
            </w:r>
          </w:p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5E2893">
              <w:rPr>
                <w:rStyle w:val="ad"/>
                <w:rFonts w:eastAsia="Calibri"/>
                <w:iCs/>
                <w:color w:val="000000" w:themeColor="text1"/>
                <w:sz w:val="24"/>
                <w:szCs w:val="24"/>
              </w:rPr>
              <w:footnoteReference w:id="4"/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  <w:vertAlign w:val="superscript"/>
              </w:rPr>
              <w:footnoteReference w:id="5"/>
            </w:r>
            <w:proofErr w:type="gramEnd"/>
          </w:p>
          <w:p w:rsidR="000724A7" w:rsidRPr="005E2893" w:rsidRDefault="000724A7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 w:themeColor="text1"/>
              </w:rPr>
            </w:pPr>
            <w:proofErr w:type="gramStart"/>
            <w:r w:rsidRPr="007A1B86">
              <w:rPr>
                <w:rFonts w:eastAsia="Calibri"/>
                <w:iCs/>
                <w:color w:val="000000" w:themeColor="text1"/>
              </w:rPr>
              <w:lastRenderedPageBreak/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7A1B86">
              <w:rPr>
                <w:rStyle w:val="ad"/>
                <w:rFonts w:eastAsia="Calibri"/>
                <w:iCs/>
                <w:color w:val="000000" w:themeColor="text1"/>
              </w:rPr>
              <w:footnoteReference w:id="6"/>
            </w:r>
            <w:r w:rsidRPr="007A1B86">
              <w:rPr>
                <w:rFonts w:eastAsia="Calibri"/>
                <w:iCs/>
                <w:color w:val="000000" w:themeColor="text1"/>
              </w:rPr>
              <w:t xml:space="preserve"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</w:t>
            </w:r>
            <w:r w:rsidRPr="007A1B86">
              <w:rPr>
                <w:rFonts w:eastAsia="Calibri"/>
                <w:iCs/>
                <w:color w:val="000000" w:themeColor="text1"/>
              </w:rPr>
              <w:lastRenderedPageBreak/>
              <w:t>добровольческими</w:t>
            </w:r>
            <w:proofErr w:type="gramEnd"/>
            <w:r w:rsidRPr="007A1B86">
              <w:rPr>
                <w:rFonts w:eastAsia="Calibri"/>
                <w:iCs/>
                <w:color w:val="000000" w:themeColor="text1"/>
              </w:rPr>
              <w:t xml:space="preserve"> организациями</w:t>
            </w:r>
          </w:p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Ежегодно в </w:t>
            </w:r>
            <w:r w:rsidR="002F51B3" w:rsidRPr="002F51B3">
              <w:rPr>
                <w:color w:val="000000"/>
                <w:sz w:val="24"/>
                <w:szCs w:val="24"/>
              </w:rPr>
              <w:t>Ленинградской области</w:t>
            </w:r>
            <w:r w:rsidR="002F51B3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sz w:val="24"/>
                <w:szCs w:val="24"/>
              </w:rPr>
              <w:t>проведен региональный этап Всероссийского конкурса «Доброволец России»</w:t>
            </w:r>
          </w:p>
          <w:p w:rsidR="000724A7" w:rsidRPr="005E2893" w:rsidRDefault="000724A7" w:rsidP="005E2893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2F51B3">
            <w:pPr>
              <w:pStyle w:val="a8"/>
              <w:shd w:val="clear" w:color="auto" w:fill="FFFFFF"/>
              <w:spacing w:before="0" w:after="0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 xml:space="preserve"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</w:t>
            </w:r>
            <w:r w:rsidR="002F51B3">
              <w:rPr>
                <w:color w:val="000000" w:themeColor="text1"/>
              </w:rPr>
              <w:t>Ленинградской области</w:t>
            </w:r>
            <w:r w:rsidRPr="007A1B86">
              <w:rPr>
                <w:color w:val="000000" w:themeColor="text1"/>
              </w:rPr>
              <w:t>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2893">
              <w:rPr>
                <w:color w:val="000000" w:themeColor="text1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5E2893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color w:val="000000" w:themeColor="text1"/>
                <w:sz w:val="24"/>
                <w:szCs w:val="24"/>
              </w:rPr>
              <w:t xml:space="preserve">) ежегодно в </w:t>
            </w:r>
            <w:r w:rsidR="002F51B3" w:rsidRPr="002F51B3">
              <w:rPr>
                <w:color w:val="000000"/>
                <w:sz w:val="24"/>
                <w:szCs w:val="24"/>
              </w:rPr>
              <w:t>Ленинградской области</w:t>
            </w:r>
            <w:r w:rsidRPr="002F51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E2893">
              <w:rPr>
                <w:color w:val="000000" w:themeColor="text1"/>
                <w:sz w:val="24"/>
                <w:szCs w:val="24"/>
              </w:rPr>
              <w:t>проводится информационная и рекламная кампания в соответствии с федеральной концепцией</w:t>
            </w:r>
            <w:r w:rsidRPr="005E2893">
              <w:rPr>
                <w:rStyle w:val="ad"/>
                <w:color w:val="000000" w:themeColor="text1"/>
                <w:sz w:val="24"/>
                <w:szCs w:val="24"/>
              </w:rPr>
              <w:footnoteReference w:id="7"/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, в том числе ежегодно изготавливается и размещается не менее </w:t>
            </w:r>
            <w:r w:rsidRPr="004310CB">
              <w:rPr>
                <w:sz w:val="24"/>
                <w:szCs w:val="24"/>
              </w:rPr>
              <w:t>500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рекламных материалов на наружных поверхностях, рекламные ролики на ТВ и в сети «Интернет» набирают не менее </w:t>
            </w:r>
            <w:r w:rsidRPr="004310CB">
              <w:rPr>
                <w:sz w:val="24"/>
                <w:szCs w:val="24"/>
              </w:rPr>
              <w:t>500 000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просмотров ежегодно, охват аудитории теле- и радиорекламы составляет не </w:t>
            </w:r>
            <w:r w:rsidRPr="0080672E">
              <w:rPr>
                <w:color w:val="000000" w:themeColor="text1"/>
                <w:sz w:val="24"/>
                <w:szCs w:val="24"/>
              </w:rPr>
              <w:t xml:space="preserve">менее </w:t>
            </w:r>
            <w:r w:rsidR="0080672E" w:rsidRPr="0080672E">
              <w:rPr>
                <w:sz w:val="24"/>
                <w:szCs w:val="24"/>
              </w:rPr>
              <w:t>180 000</w:t>
            </w:r>
            <w:r w:rsidRPr="0080672E">
              <w:rPr>
                <w:rStyle w:val="ad"/>
                <w:sz w:val="24"/>
                <w:szCs w:val="24"/>
              </w:rPr>
              <w:footnoteReference w:id="8"/>
            </w:r>
            <w:r w:rsidRPr="0080672E">
              <w:rPr>
                <w:color w:val="000000" w:themeColor="text1"/>
                <w:sz w:val="24"/>
                <w:szCs w:val="24"/>
              </w:rPr>
              <w:t xml:space="preserve"> человек</w:t>
            </w:r>
            <w:proofErr w:type="gramEnd"/>
            <w:r w:rsidRPr="0080672E">
              <w:rPr>
                <w:color w:val="000000" w:themeColor="text1"/>
                <w:sz w:val="24"/>
                <w:szCs w:val="24"/>
              </w:rPr>
              <w:t xml:space="preserve"> ежегодно,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а также в сети «Интернет» и социальных сетях размещается не менее </w:t>
            </w:r>
            <w:r w:rsidRPr="004310CB">
              <w:rPr>
                <w:sz w:val="24"/>
                <w:szCs w:val="24"/>
              </w:rPr>
              <w:t>100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информационных материалов в год.</w:t>
            </w:r>
          </w:p>
          <w:p w:rsidR="000724A7" w:rsidRPr="005E2893" w:rsidRDefault="000724A7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7A1B86">
              <w:rPr>
                <w:color w:val="000000" w:themeColor="text1"/>
                <w:sz w:val="24"/>
              </w:rPr>
              <w:t>в соответствии с федеральной концепцией</w:t>
            </w:r>
            <w:r w:rsidRPr="007A1B86">
              <w:rPr>
                <w:color w:val="000000" w:themeColor="text1"/>
                <w:sz w:val="24"/>
                <w:szCs w:val="28"/>
              </w:rPr>
              <w:t>.</w:t>
            </w:r>
          </w:p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</w:t>
            </w:r>
            <w:proofErr w:type="gramStart"/>
            <w:r w:rsidRPr="007A1B86">
              <w:rPr>
                <w:color w:val="000000" w:themeColor="text1"/>
              </w:rPr>
              <w:t>е-</w:t>
            </w:r>
            <w:proofErr w:type="gramEnd"/>
            <w:r w:rsidRPr="007A1B86">
              <w:rPr>
                <w:color w:val="000000" w:themeColor="text1"/>
              </w:rPr>
              <w:t xml:space="preserve"> </w:t>
            </w:r>
            <w:r w:rsidRPr="007A1B86">
              <w:rPr>
                <w:color w:val="000000" w:themeColor="text1"/>
              </w:rPr>
              <w:br/>
              <w:t xml:space="preserve">и радиорекламы составляет не </w:t>
            </w:r>
            <w:r w:rsidR="0080672E" w:rsidRPr="0080672E">
              <w:rPr>
                <w:color w:val="000000" w:themeColor="text1"/>
              </w:rPr>
              <w:t>менее 180 000</w:t>
            </w:r>
            <w:r w:rsidRPr="0080672E">
              <w:rPr>
                <w:rStyle w:val="ad"/>
                <w:color w:val="000000" w:themeColor="text1"/>
              </w:rPr>
              <w:footnoteReference w:id="9"/>
            </w:r>
            <w:r w:rsidRPr="0080672E">
              <w:rPr>
                <w:color w:val="000000" w:themeColor="text1"/>
              </w:rPr>
              <w:t xml:space="preserve"> человек</w:t>
            </w:r>
            <w:r w:rsidRPr="007A1B86">
              <w:rPr>
                <w:color w:val="000000" w:themeColor="text1"/>
              </w:rPr>
              <w:t xml:space="preserve"> ежегодно, а также в сети «Интернет» и социальных сетях размещается не менее 100 информационных материалов в год.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D75B32">
            <w:pPr>
              <w:spacing w:line="240" w:lineRule="auto"/>
              <w:rPr>
                <w:sz w:val="24"/>
                <w:szCs w:val="24"/>
              </w:rPr>
            </w:pPr>
            <w:r w:rsidRPr="004310CB">
              <w:rPr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="002F51B3" w:rsidRPr="002F51B3">
              <w:rPr>
                <w:sz w:val="24"/>
                <w:szCs w:val="24"/>
              </w:rPr>
              <w:t>Ленинградской области</w:t>
            </w:r>
            <w:r w:rsidR="002F51B3">
              <w:rPr>
                <w:i/>
                <w:sz w:val="24"/>
                <w:szCs w:val="24"/>
              </w:rPr>
              <w:t xml:space="preserve"> </w:t>
            </w:r>
            <w:r w:rsidRPr="004310CB">
              <w:rPr>
                <w:sz w:val="24"/>
                <w:szCs w:val="24"/>
              </w:rPr>
              <w:t>не менее чем в 3 всероссийских (международных) и 1 окружном мероприятии</w:t>
            </w:r>
          </w:p>
          <w:p w:rsidR="000724A7" w:rsidRPr="004310CB" w:rsidRDefault="000724A7" w:rsidP="00D75B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2F51B3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 xml:space="preserve">Участие представителей </w:t>
            </w:r>
            <w:r w:rsidR="002F51B3" w:rsidRPr="002F51B3">
              <w:rPr>
                <w:color w:val="000000" w:themeColor="text1"/>
              </w:rPr>
              <w:t>Ленинградской области</w:t>
            </w:r>
            <w:r w:rsidRPr="007A1B86">
              <w:rPr>
                <w:color w:val="000000" w:themeColor="text1"/>
              </w:rPr>
              <w:t xml:space="preserve"> 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 xml:space="preserve">Ежегодно в </w:t>
            </w:r>
            <w:r w:rsidR="002F51B3" w:rsidRPr="002F51B3">
              <w:rPr>
                <w:color w:val="000000"/>
                <w:sz w:val="24"/>
                <w:szCs w:val="24"/>
              </w:rPr>
              <w:t>Ленинградской области</w:t>
            </w:r>
            <w:r w:rsidRPr="005E2893">
              <w:rPr>
                <w:color w:val="000000"/>
                <w:sz w:val="24"/>
                <w:szCs w:val="24"/>
              </w:rPr>
              <w:t xml:space="preserve"> внедрено не менее 3 практик развития добровольчества из </w:t>
            </w:r>
            <w:proofErr w:type="gramStart"/>
            <w:r w:rsidRPr="005E2893">
              <w:rPr>
                <w:color w:val="000000"/>
                <w:sz w:val="24"/>
                <w:szCs w:val="24"/>
              </w:rPr>
              <w:t>числа</w:t>
            </w:r>
            <w:proofErr w:type="gramEnd"/>
            <w:r w:rsidRPr="005E2893">
              <w:rPr>
                <w:color w:val="000000"/>
                <w:sz w:val="24"/>
                <w:szCs w:val="24"/>
              </w:rPr>
              <w:t xml:space="preserve"> рекомендованных, а также не </w:t>
            </w:r>
            <w:r w:rsidRPr="005E2893">
              <w:rPr>
                <w:color w:val="000000"/>
                <w:sz w:val="24"/>
                <w:szCs w:val="24"/>
              </w:rPr>
              <w:lastRenderedPageBreak/>
              <w:t xml:space="preserve">менее 1 практики развития добровольчества </w:t>
            </w:r>
            <w:r w:rsidR="009D57DC" w:rsidRPr="009D57DC">
              <w:rPr>
                <w:color w:val="000000"/>
                <w:sz w:val="24"/>
                <w:szCs w:val="24"/>
              </w:rPr>
              <w:t>Ленинградской области</w:t>
            </w:r>
            <w:r w:rsidR="009D57D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color w:val="000000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24A7" w:rsidRPr="000D78B7" w:rsidRDefault="000724A7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9D57D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lastRenderedPageBreak/>
              <w:t xml:space="preserve">Ежегодно в </w:t>
            </w:r>
            <w:r w:rsidR="002F51B3" w:rsidRPr="002F51B3">
              <w:rPr>
                <w:color w:val="000000" w:themeColor="text1"/>
              </w:rPr>
              <w:t>Ленинградской области</w:t>
            </w:r>
            <w:r w:rsidRPr="007A1B86">
              <w:rPr>
                <w:color w:val="000000" w:themeColor="text1"/>
              </w:rPr>
              <w:t xml:space="preserve"> внедрено не менее 3 практик развития добровольчества из </w:t>
            </w:r>
            <w:proofErr w:type="gramStart"/>
            <w:r w:rsidRPr="007A1B86">
              <w:rPr>
                <w:color w:val="000000" w:themeColor="text1"/>
              </w:rPr>
              <w:t>числа</w:t>
            </w:r>
            <w:proofErr w:type="gramEnd"/>
            <w:r w:rsidRPr="007A1B86">
              <w:rPr>
                <w:color w:val="000000" w:themeColor="text1"/>
              </w:rPr>
              <w:t xml:space="preserve"> </w:t>
            </w:r>
            <w:r w:rsidRPr="007A1B86">
              <w:rPr>
                <w:color w:val="000000" w:themeColor="text1"/>
              </w:rPr>
              <w:lastRenderedPageBreak/>
              <w:t xml:space="preserve">рекомендованных, а также не менее 1 практики развития добровольчества </w:t>
            </w:r>
            <w:r w:rsidR="009D57DC" w:rsidRPr="009D57DC">
              <w:rPr>
                <w:color w:val="000000" w:themeColor="text1"/>
              </w:rPr>
              <w:t>Ленинградской области</w:t>
            </w:r>
            <w:r w:rsidR="009D57DC">
              <w:rPr>
                <w:i/>
                <w:color w:val="000000" w:themeColor="text1"/>
              </w:rPr>
              <w:t xml:space="preserve"> </w:t>
            </w:r>
            <w:r w:rsidRPr="007A1B86">
              <w:rPr>
                <w:color w:val="000000" w:themeColor="text1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</w:tr>
      <w:tr w:rsidR="000724A7" w:rsidRPr="005E2893" w:rsidTr="003927A8">
        <w:tc>
          <w:tcPr>
            <w:tcW w:w="959" w:type="dxa"/>
          </w:tcPr>
          <w:p w:rsidR="000724A7" w:rsidRPr="005E2893" w:rsidRDefault="000724A7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1.16. </w:t>
            </w:r>
          </w:p>
        </w:tc>
        <w:tc>
          <w:tcPr>
            <w:tcW w:w="7195" w:type="dxa"/>
            <w:shd w:val="clear" w:color="auto" w:fill="auto"/>
          </w:tcPr>
          <w:p w:rsidR="000724A7" w:rsidRDefault="000724A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 xml:space="preserve">Ежегодно в </w:t>
            </w:r>
            <w:r w:rsidR="009D57DC" w:rsidRPr="009D57DC">
              <w:rPr>
                <w:color w:val="000000"/>
                <w:sz w:val="24"/>
                <w:szCs w:val="24"/>
              </w:rPr>
              <w:t>Ленинградской области</w:t>
            </w:r>
            <w:r w:rsidRPr="005E2893">
              <w:rPr>
                <w:color w:val="000000"/>
                <w:sz w:val="24"/>
                <w:szCs w:val="24"/>
              </w:rPr>
              <w:t xml:space="preserve"> 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24A7" w:rsidRPr="005E2893" w:rsidRDefault="000724A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7A1B86" w:rsidRDefault="000724A7" w:rsidP="00AE723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</w:tc>
      </w:tr>
      <w:tr w:rsidR="00BA2A27" w:rsidRPr="005E2893" w:rsidTr="003927A8">
        <w:tc>
          <w:tcPr>
            <w:tcW w:w="959" w:type="dxa"/>
          </w:tcPr>
          <w:p w:rsidR="00BA2A27" w:rsidRPr="005E2893" w:rsidRDefault="00BA2A27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58" w:type="dxa"/>
            <w:gridSpan w:val="2"/>
            <w:shd w:val="clear" w:color="auto" w:fill="auto"/>
          </w:tcPr>
          <w:p w:rsidR="00BA2A27" w:rsidRDefault="00BA2A2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D78B7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B34795" w:rsidRPr="000D78B7" w:rsidRDefault="00B34795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A2A27" w:rsidRPr="005E2893" w:rsidTr="003927A8">
        <w:tc>
          <w:tcPr>
            <w:tcW w:w="959" w:type="dxa"/>
          </w:tcPr>
          <w:p w:rsidR="00BA2A27" w:rsidRPr="005E2893" w:rsidRDefault="00BA2A27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2.1.</w:t>
            </w:r>
          </w:p>
        </w:tc>
        <w:tc>
          <w:tcPr>
            <w:tcW w:w="7195" w:type="dxa"/>
            <w:shd w:val="clear" w:color="auto" w:fill="auto"/>
          </w:tcPr>
          <w:p w:rsidR="00BA2A27" w:rsidRPr="005E2893" w:rsidRDefault="004B19D3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6663" w:type="dxa"/>
            <w:shd w:val="clear" w:color="auto" w:fill="auto"/>
          </w:tcPr>
          <w:p w:rsidR="004B19D3" w:rsidRPr="009830F4" w:rsidRDefault="004B19D3" w:rsidP="005E2893">
            <w:pPr>
              <w:spacing w:line="240" w:lineRule="auto"/>
              <w:rPr>
                <w:sz w:val="24"/>
                <w:szCs w:val="24"/>
              </w:rPr>
            </w:pPr>
            <w:r w:rsidRPr="00171705">
              <w:rPr>
                <w:sz w:val="24"/>
                <w:szCs w:val="24"/>
              </w:rPr>
              <w:t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</w:t>
            </w:r>
            <w:r w:rsidR="004310CB" w:rsidRPr="00171705">
              <w:rPr>
                <w:sz w:val="24"/>
                <w:szCs w:val="24"/>
              </w:rPr>
              <w:t xml:space="preserve">тие </w:t>
            </w:r>
            <w:r w:rsidR="004310CB" w:rsidRPr="009830F4">
              <w:rPr>
                <w:sz w:val="24"/>
                <w:szCs w:val="24"/>
              </w:rPr>
              <w:t xml:space="preserve">не менее 2 500 </w:t>
            </w:r>
            <w:r w:rsidRPr="009830F4">
              <w:rPr>
                <w:sz w:val="24"/>
                <w:szCs w:val="24"/>
              </w:rPr>
              <w:t xml:space="preserve">студентов образовательных организаций высшего и среднего специального образования. </w:t>
            </w:r>
          </w:p>
          <w:p w:rsidR="004B19D3" w:rsidRPr="009830F4" w:rsidRDefault="004B19D3" w:rsidP="005E2893">
            <w:pPr>
              <w:spacing w:line="240" w:lineRule="auto"/>
              <w:rPr>
                <w:sz w:val="24"/>
                <w:szCs w:val="24"/>
              </w:rPr>
            </w:pPr>
            <w:r w:rsidRPr="009830F4">
              <w:rPr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600 человек.</w:t>
            </w:r>
          </w:p>
          <w:p w:rsidR="00BA2A27" w:rsidRPr="005E2893" w:rsidRDefault="004B19D3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30F4">
              <w:rPr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935366" w:rsidRPr="005E2893" w:rsidTr="003927A8">
        <w:tc>
          <w:tcPr>
            <w:tcW w:w="959" w:type="dxa"/>
          </w:tcPr>
          <w:p w:rsidR="00935366" w:rsidRPr="005E2893" w:rsidRDefault="003927A8" w:rsidP="005E2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35366" w:rsidRPr="005E2893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935366" w:rsidRDefault="00935366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Информирование целевых групп о конкурсах, входящих в </w:t>
            </w:r>
            <w:r w:rsidRPr="005E2893">
              <w:rPr>
                <w:sz w:val="24"/>
                <w:szCs w:val="24"/>
              </w:rPr>
              <w:lastRenderedPageBreak/>
              <w:t>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B34795" w:rsidRPr="005E2893" w:rsidRDefault="00B34795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366" w:rsidRPr="005E2893" w:rsidRDefault="00935366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 xml:space="preserve">Региональные операторы используют разные каналы </w:t>
            </w:r>
            <w:r w:rsidRPr="005E2893">
              <w:rPr>
                <w:sz w:val="24"/>
                <w:szCs w:val="24"/>
              </w:rPr>
              <w:lastRenderedPageBreak/>
              <w:t>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5E2893" w:rsidRPr="005E2893" w:rsidTr="003927A8">
        <w:tc>
          <w:tcPr>
            <w:tcW w:w="959" w:type="dxa"/>
          </w:tcPr>
          <w:p w:rsidR="005E2893" w:rsidRPr="005E2893" w:rsidRDefault="005E2893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95" w:type="dxa"/>
            <w:shd w:val="clear" w:color="auto" w:fill="auto"/>
          </w:tcPr>
          <w:p w:rsidR="005E2893" w:rsidRDefault="001F2344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Ежегодно</w:t>
            </w:r>
            <w:r w:rsidR="005E2893">
              <w:rPr>
                <w:color w:val="000000" w:themeColor="text1"/>
                <w:sz w:val="24"/>
                <w:szCs w:val="24"/>
              </w:rPr>
              <w:t xml:space="preserve">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="005E2893">
              <w:rPr>
                <w:color w:val="000000" w:themeColor="text1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</w:t>
            </w:r>
            <w:proofErr w:type="spellStart"/>
            <w:r w:rsidR="005E2893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E2893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="005E2893">
              <w:rPr>
                <w:color w:val="000000" w:themeColor="text1"/>
                <w:sz w:val="24"/>
                <w:szCs w:val="24"/>
              </w:rPr>
              <w:t>имферополь</w:t>
            </w:r>
            <w:proofErr w:type="spellEnd"/>
            <w:r w:rsidR="005E289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E2893" w:rsidRPr="002D3492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E2893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26D59">
              <w:rPr>
                <w:color w:val="000000" w:themeColor="text1"/>
                <w:sz w:val="24"/>
                <w:szCs w:val="24"/>
              </w:rPr>
              <w:t xml:space="preserve">роводятся очные презентации планируемых образовательных программ </w:t>
            </w:r>
            <w:r w:rsidR="001F2344"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="001F234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6D59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</w:t>
            </w:r>
            <w:r>
              <w:rPr>
                <w:color w:val="000000" w:themeColor="text1"/>
                <w:sz w:val="24"/>
                <w:szCs w:val="24"/>
              </w:rPr>
              <w:t xml:space="preserve">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5E2893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участников образовательных программ </w:t>
            </w:r>
            <w:r w:rsidR="001F2344"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</w:t>
            </w:r>
            <w:proofErr w:type="gramEnd"/>
            <w:r w:rsidR="001F2344" w:rsidRPr="00E43CBE">
              <w:rPr>
                <w:iCs/>
                <w:color w:val="000000" w:themeColor="text1"/>
                <w:sz w:val="24"/>
                <w:szCs w:val="24"/>
              </w:rPr>
              <w:t xml:space="preserve"> и искусства «Таврида»</w:t>
            </w:r>
            <w:r>
              <w:rPr>
                <w:color w:val="000000" w:themeColor="text1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5E2893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Обеспечивается поддержка участников, прошедших все конкурсные испытания и подтвержденных к участию в образовательных программах, логистическо</w:t>
            </w:r>
            <w:r w:rsidR="001F2344">
              <w:rPr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color w:val="000000" w:themeColor="text1"/>
                <w:sz w:val="24"/>
                <w:szCs w:val="24"/>
              </w:rPr>
              <w:t>сопровождени</w:t>
            </w:r>
            <w:r w:rsidR="001F2344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от региона до аэропорта г.</w:t>
            </w:r>
            <w:r w:rsidR="00F8348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Симферополь. </w:t>
            </w:r>
          </w:p>
          <w:p w:rsidR="005E2893" w:rsidRPr="00226D59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</w:t>
            </w:r>
            <w:r w:rsidR="009D57DC">
              <w:rPr>
                <w:color w:val="000000" w:themeColor="text1"/>
                <w:sz w:val="24"/>
                <w:szCs w:val="24"/>
              </w:rPr>
              <w:t>Ленинградскую область</w:t>
            </w:r>
            <w:r>
              <w:rPr>
                <w:color w:val="000000" w:themeColor="text1"/>
                <w:sz w:val="24"/>
                <w:szCs w:val="24"/>
              </w:rPr>
              <w:t xml:space="preserve">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</w:t>
            </w:r>
            <w:r w:rsidR="001F2344">
              <w:rPr>
                <w:color w:val="000000" w:themeColor="text1"/>
                <w:sz w:val="24"/>
                <w:szCs w:val="24"/>
              </w:rPr>
              <w:t xml:space="preserve">Лучшие молодежные творческие инициативы, получившие поддержку в рамках </w:t>
            </w:r>
            <w:r w:rsidR="001F2344"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="001F2344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1F2344">
              <w:rPr>
                <w:color w:val="000000" w:themeColor="text1"/>
                <w:sz w:val="24"/>
                <w:szCs w:val="24"/>
              </w:rPr>
              <w:t xml:space="preserve">реализуются на территории </w:t>
            </w:r>
            <w:r w:rsidR="009D57DC">
              <w:rPr>
                <w:color w:val="000000" w:themeColor="text1"/>
                <w:sz w:val="24"/>
                <w:szCs w:val="24"/>
              </w:rPr>
              <w:t>Ленинградской области</w:t>
            </w:r>
            <w:r w:rsidR="001F2344">
              <w:rPr>
                <w:color w:val="000000" w:themeColor="text1"/>
                <w:sz w:val="24"/>
                <w:szCs w:val="24"/>
              </w:rPr>
              <w:t>.</w:t>
            </w:r>
          </w:p>
          <w:p w:rsidR="005E2893" w:rsidRPr="00290EDE" w:rsidRDefault="005E2893" w:rsidP="001F234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2893" w:rsidRPr="005E2893" w:rsidTr="003927A8">
        <w:tc>
          <w:tcPr>
            <w:tcW w:w="959" w:type="dxa"/>
          </w:tcPr>
          <w:p w:rsidR="005E2893" w:rsidRPr="005E2893" w:rsidRDefault="005E2893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5E2893" w:rsidRPr="00E43CBE" w:rsidRDefault="00F83482" w:rsidP="00F83482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</w:t>
            </w:r>
            <w:r w:rsidR="005E2893">
              <w:rPr>
                <w:color w:val="000000" w:themeColor="text1"/>
                <w:sz w:val="24"/>
                <w:szCs w:val="24"/>
              </w:rPr>
              <w:t xml:space="preserve">, которая примет участие в организации </w:t>
            </w:r>
            <w:r w:rsidRPr="009D57DC">
              <w:rPr>
                <w:sz w:val="24"/>
                <w:szCs w:val="24"/>
              </w:rPr>
              <w:t>Фестиваля «</w:t>
            </w:r>
            <w:proofErr w:type="gramStart"/>
            <w:r w:rsidRPr="009D57DC">
              <w:rPr>
                <w:sz w:val="24"/>
                <w:szCs w:val="24"/>
              </w:rPr>
              <w:t>Таврида</w:t>
            </w:r>
            <w:proofErr w:type="gramEnd"/>
            <w:r w:rsidRPr="009D57DC">
              <w:rPr>
                <w:sz w:val="24"/>
                <w:szCs w:val="24"/>
              </w:rPr>
              <w:t>-</w:t>
            </w:r>
            <w:proofErr w:type="spellStart"/>
            <w:r w:rsidRPr="009D57DC">
              <w:rPr>
                <w:sz w:val="24"/>
                <w:szCs w:val="24"/>
              </w:rPr>
              <w:t>ArtRussia</w:t>
            </w:r>
            <w:proofErr w:type="spellEnd"/>
            <w:r w:rsidRPr="009D57DC">
              <w:rPr>
                <w:sz w:val="24"/>
                <w:szCs w:val="24"/>
              </w:rPr>
              <w:t>»</w:t>
            </w:r>
            <w:r w:rsidR="005E2893" w:rsidRPr="009D57DC">
              <w:rPr>
                <w:color w:val="000000" w:themeColor="text1"/>
                <w:sz w:val="24"/>
                <w:szCs w:val="24"/>
              </w:rPr>
              <w:t>,</w:t>
            </w:r>
            <w:r w:rsidR="005E28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2893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информационная кампания по привлечению </w:t>
            </w:r>
            <w:r>
              <w:rPr>
                <w:color w:val="000000" w:themeColor="text1"/>
                <w:sz w:val="24"/>
                <w:szCs w:val="24"/>
              </w:rPr>
              <w:t>аудитории</w:t>
            </w:r>
            <w:r w:rsidR="005E289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="005E2893">
              <w:rPr>
                <w:color w:val="000000" w:themeColor="text1"/>
                <w:sz w:val="24"/>
                <w:szCs w:val="24"/>
              </w:rPr>
              <w:t>одействие в формировании основной программы мероприятий фестиваля.</w:t>
            </w:r>
          </w:p>
        </w:tc>
        <w:tc>
          <w:tcPr>
            <w:tcW w:w="6663" w:type="dxa"/>
            <w:shd w:val="clear" w:color="auto" w:fill="auto"/>
          </w:tcPr>
          <w:p w:rsidR="005E2893" w:rsidRPr="009D57DC" w:rsidRDefault="005E2893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6"/>
              </w:rPr>
              <w:lastRenderedPageBreak/>
              <w:t xml:space="preserve">Не менее 15 лучших представителей </w:t>
            </w:r>
            <w:r w:rsidR="009D57DC">
              <w:rPr>
                <w:color w:val="000000" w:themeColor="text1"/>
                <w:sz w:val="24"/>
                <w:szCs w:val="26"/>
              </w:rPr>
              <w:t>региона</w:t>
            </w:r>
            <w:r>
              <w:rPr>
                <w:color w:val="000000" w:themeColor="text1"/>
                <w:sz w:val="24"/>
                <w:szCs w:val="26"/>
              </w:rPr>
              <w:t xml:space="preserve"> в области культуры и искусства принимают участие в </w:t>
            </w:r>
            <w:r w:rsidR="00F83482">
              <w:rPr>
                <w:color w:val="000000" w:themeColor="text1"/>
                <w:sz w:val="24"/>
                <w:szCs w:val="26"/>
              </w:rPr>
              <w:lastRenderedPageBreak/>
              <w:t>региональной/окружной</w:t>
            </w:r>
            <w:r>
              <w:rPr>
                <w:color w:val="000000" w:themeColor="text1"/>
                <w:sz w:val="24"/>
                <w:szCs w:val="26"/>
              </w:rPr>
              <w:t xml:space="preserve"> команде организаторов </w:t>
            </w:r>
            <w:r w:rsidR="00F83482" w:rsidRPr="004310CB">
              <w:rPr>
                <w:sz w:val="26"/>
                <w:szCs w:val="26"/>
              </w:rPr>
              <w:t xml:space="preserve">Фестиваля </w:t>
            </w:r>
            <w:r w:rsidR="00F83482" w:rsidRPr="009D57DC">
              <w:rPr>
                <w:sz w:val="24"/>
                <w:szCs w:val="24"/>
              </w:rPr>
              <w:t>«</w:t>
            </w:r>
            <w:proofErr w:type="gramStart"/>
            <w:r w:rsidR="00F83482" w:rsidRPr="009D57DC">
              <w:rPr>
                <w:sz w:val="24"/>
                <w:szCs w:val="24"/>
              </w:rPr>
              <w:t>Таврида</w:t>
            </w:r>
            <w:proofErr w:type="gramEnd"/>
            <w:r w:rsidR="00F83482" w:rsidRPr="009D57DC">
              <w:rPr>
                <w:sz w:val="24"/>
                <w:szCs w:val="24"/>
              </w:rPr>
              <w:t>-</w:t>
            </w:r>
            <w:proofErr w:type="spellStart"/>
            <w:r w:rsidR="00F83482" w:rsidRPr="009D57DC">
              <w:rPr>
                <w:sz w:val="24"/>
                <w:szCs w:val="24"/>
              </w:rPr>
              <w:t>ArtRussia</w:t>
            </w:r>
            <w:proofErr w:type="spellEnd"/>
            <w:r w:rsidR="00F83482" w:rsidRPr="009D57DC">
              <w:rPr>
                <w:sz w:val="24"/>
                <w:szCs w:val="24"/>
              </w:rPr>
              <w:t>»</w:t>
            </w:r>
            <w:r w:rsidRPr="009D57DC">
              <w:rPr>
                <w:color w:val="000000" w:themeColor="text1"/>
                <w:sz w:val="24"/>
                <w:szCs w:val="24"/>
              </w:rPr>
              <w:t>.</w:t>
            </w:r>
          </w:p>
          <w:p w:rsidR="005E2893" w:rsidRDefault="005E2893" w:rsidP="001F2344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proofErr w:type="spellStart"/>
            <w:r>
              <w:rPr>
                <w:color w:val="000000" w:themeColor="text1"/>
                <w:sz w:val="24"/>
                <w:szCs w:val="26"/>
                <w:lang w:val="en-US"/>
              </w:rPr>
              <w:t>ArtRussia</w:t>
            </w:r>
            <w:proofErr w:type="spellEnd"/>
            <w:r>
              <w:rPr>
                <w:color w:val="000000" w:themeColor="text1"/>
                <w:sz w:val="24"/>
                <w:szCs w:val="26"/>
              </w:rPr>
              <w:t xml:space="preserve">». </w:t>
            </w:r>
          </w:p>
          <w:p w:rsidR="005E2893" w:rsidRDefault="005E2893" w:rsidP="001F2344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</w:t>
            </w:r>
            <w:proofErr w:type="gramStart"/>
            <w:r>
              <w:rPr>
                <w:color w:val="000000" w:themeColor="text1"/>
                <w:sz w:val="24"/>
                <w:szCs w:val="26"/>
              </w:rPr>
              <w:t>комментариями организаторов фестиваля</w:t>
            </w:r>
            <w:proofErr w:type="gramEnd"/>
            <w:r>
              <w:rPr>
                <w:color w:val="000000" w:themeColor="text1"/>
                <w:sz w:val="24"/>
                <w:szCs w:val="26"/>
              </w:rPr>
              <w:t xml:space="preserve">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5E2893" w:rsidRPr="00DE5352" w:rsidRDefault="005E2893" w:rsidP="009D57DC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Ежегодно в рамках фестиваля принимают участие представители не менее 3 ведущих культурных организаций (театры, музеи, выставочные пространства)</w:t>
            </w:r>
          </w:p>
        </w:tc>
      </w:tr>
    </w:tbl>
    <w:p w:rsidR="00876CF5" w:rsidRDefault="00876CF5">
      <w:pPr>
        <w:spacing w:line="240" w:lineRule="auto"/>
        <w:jc w:val="left"/>
        <w:rPr>
          <w:sz w:val="24"/>
        </w:rPr>
      </w:pPr>
      <w:r>
        <w:rPr>
          <w:sz w:val="24"/>
        </w:rPr>
        <w:lastRenderedPageBreak/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4. Финансовое обеспечение реализации </w:t>
      </w:r>
      <w:r w:rsidR="00107768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395661" w:rsidTr="009D57DC">
        <w:trPr>
          <w:trHeight w:val="436"/>
        </w:trPr>
        <w:tc>
          <w:tcPr>
            <w:tcW w:w="736" w:type="dxa"/>
            <w:vMerge w:val="restart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№ </w:t>
            </w:r>
            <w:r w:rsidRPr="00395661">
              <w:rPr>
                <w:sz w:val="22"/>
                <w:szCs w:val="22"/>
              </w:rPr>
              <w:br/>
            </w:r>
            <w:proofErr w:type="gramStart"/>
            <w:r w:rsidRPr="00395661">
              <w:rPr>
                <w:sz w:val="22"/>
                <w:szCs w:val="22"/>
              </w:rPr>
              <w:t>п</w:t>
            </w:r>
            <w:proofErr w:type="gramEnd"/>
            <w:r w:rsidRPr="00395661">
              <w:rPr>
                <w:sz w:val="22"/>
                <w:szCs w:val="22"/>
              </w:rPr>
              <w:t>/п</w:t>
            </w:r>
          </w:p>
        </w:tc>
        <w:tc>
          <w:tcPr>
            <w:tcW w:w="4535" w:type="dxa"/>
            <w:vMerge w:val="restart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Всего</w:t>
            </w:r>
            <w:r w:rsidRPr="00395661">
              <w:rPr>
                <w:sz w:val="22"/>
                <w:szCs w:val="22"/>
              </w:rPr>
              <w:br/>
              <w:t>(млн. рублей)</w:t>
            </w:r>
          </w:p>
        </w:tc>
      </w:tr>
      <w:tr w:rsidR="00C31509" w:rsidRPr="00395661" w:rsidTr="009D57DC">
        <w:tc>
          <w:tcPr>
            <w:tcW w:w="736" w:type="dxa"/>
            <w:vMerge/>
          </w:tcPr>
          <w:p w:rsidR="00C31509" w:rsidRPr="00395661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</w:tcPr>
          <w:p w:rsidR="00C31509" w:rsidRPr="00395661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</w:tcPr>
          <w:p w:rsidR="00C31509" w:rsidRPr="00395661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</w:tcPr>
          <w:p w:rsidR="00C31509" w:rsidRPr="00395661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A2A27" w:rsidRPr="00395661" w:rsidTr="009D57DC">
        <w:trPr>
          <w:trHeight w:val="1581"/>
        </w:trPr>
        <w:tc>
          <w:tcPr>
            <w:tcW w:w="73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1.</w:t>
            </w:r>
          </w:p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A2A27" w:rsidRPr="004310CB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310CB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4310CB">
              <w:rPr>
                <w:color w:val="000000" w:themeColor="text1"/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7768" w:rsidRPr="00395661" w:rsidTr="009D57DC">
        <w:tc>
          <w:tcPr>
            <w:tcW w:w="736" w:type="dxa"/>
            <w:vMerge w:val="restart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768" w:rsidRPr="00395661" w:rsidTr="009D57DC">
        <w:tc>
          <w:tcPr>
            <w:tcW w:w="736" w:type="dxa"/>
            <w:vMerge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39566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7768" w:rsidRPr="00395661" w:rsidTr="009D57DC">
        <w:tc>
          <w:tcPr>
            <w:tcW w:w="736" w:type="dxa"/>
            <w:vMerge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9749A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Бюджет </w:t>
            </w:r>
            <w:r w:rsidR="009749A3" w:rsidRPr="009749A3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78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4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84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107768" w:rsidRPr="00395661" w:rsidTr="009D57DC">
        <w:tc>
          <w:tcPr>
            <w:tcW w:w="736" w:type="dxa"/>
            <w:vMerge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7768" w:rsidRPr="00395661" w:rsidTr="009D57DC">
        <w:tc>
          <w:tcPr>
            <w:tcW w:w="736" w:type="dxa"/>
            <w:vMerge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95661">
              <w:rPr>
                <w:i/>
                <w:sz w:val="22"/>
                <w:szCs w:val="22"/>
              </w:rPr>
              <w:t>/наименование субъекта Российской Федерации/</w:t>
            </w:r>
          </w:p>
        </w:tc>
        <w:tc>
          <w:tcPr>
            <w:tcW w:w="1278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107768" w:rsidRPr="00395661" w:rsidRDefault="009749A3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768" w:rsidRPr="00395661" w:rsidTr="009D57DC">
        <w:trPr>
          <w:trHeight w:val="866"/>
        </w:trPr>
        <w:tc>
          <w:tcPr>
            <w:tcW w:w="736" w:type="dxa"/>
            <w:vMerge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07768" w:rsidRPr="00395661" w:rsidRDefault="0010776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736" w:type="dxa"/>
            <w:vMerge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2A27" w:rsidRPr="00395661" w:rsidTr="009D57DC">
        <w:tc>
          <w:tcPr>
            <w:tcW w:w="736" w:type="dxa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BA2A27" w:rsidRPr="004310CB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310CB">
              <w:rPr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736" w:type="dxa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2A27" w:rsidRPr="00395661" w:rsidTr="009D57DC">
        <w:tc>
          <w:tcPr>
            <w:tcW w:w="736" w:type="dxa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736" w:type="dxa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749A3" w:rsidRPr="00395661" w:rsidRDefault="009749A3" w:rsidP="009749A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Бюджет </w:t>
            </w:r>
            <w:r w:rsidRPr="009749A3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2A27" w:rsidRPr="00395661" w:rsidTr="009D57DC">
        <w:tc>
          <w:tcPr>
            <w:tcW w:w="736" w:type="dxa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736" w:type="dxa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95661">
              <w:rPr>
                <w:i/>
                <w:sz w:val="22"/>
                <w:szCs w:val="22"/>
              </w:rPr>
              <w:t>/наименование субъекта Российской Федерации/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2A27" w:rsidRPr="00395661" w:rsidTr="009D57DC">
        <w:tc>
          <w:tcPr>
            <w:tcW w:w="736" w:type="dxa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A2A27" w:rsidRPr="00395661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BA2A27" w:rsidRPr="00395661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736" w:type="dxa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749A3" w:rsidRPr="00395661" w:rsidRDefault="009749A3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1509" w:rsidRPr="00395661" w:rsidTr="009D57DC">
        <w:tc>
          <w:tcPr>
            <w:tcW w:w="5271" w:type="dxa"/>
            <w:gridSpan w:val="2"/>
          </w:tcPr>
          <w:p w:rsidR="00C31509" w:rsidRPr="00395661" w:rsidRDefault="00817E14" w:rsidP="00395661">
            <w:pPr>
              <w:spacing w:line="240" w:lineRule="auto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Всего по </w:t>
            </w:r>
            <w:r w:rsidR="00107768" w:rsidRPr="00395661">
              <w:rPr>
                <w:sz w:val="22"/>
                <w:szCs w:val="22"/>
              </w:rPr>
              <w:t xml:space="preserve">региональному </w:t>
            </w:r>
            <w:r w:rsidRPr="00395661">
              <w:rPr>
                <w:sz w:val="22"/>
                <w:szCs w:val="22"/>
              </w:rPr>
              <w:t>проекту, в том числе:</w:t>
            </w:r>
          </w:p>
        </w:tc>
        <w:tc>
          <w:tcPr>
            <w:tcW w:w="1278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</w:tcPr>
          <w:p w:rsidR="00C31509" w:rsidRPr="00395661" w:rsidRDefault="00C31509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5271" w:type="dxa"/>
            <w:gridSpan w:val="2"/>
            <w:vAlign w:val="center"/>
          </w:tcPr>
          <w:p w:rsidR="009749A3" w:rsidRPr="00395661" w:rsidRDefault="009749A3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768" w:rsidRPr="00395661" w:rsidTr="009D57DC">
        <w:tc>
          <w:tcPr>
            <w:tcW w:w="5271" w:type="dxa"/>
            <w:gridSpan w:val="2"/>
            <w:vAlign w:val="center"/>
          </w:tcPr>
          <w:p w:rsidR="00107768" w:rsidRPr="00395661" w:rsidRDefault="00107768" w:rsidP="00395661">
            <w:pPr>
              <w:spacing w:line="240" w:lineRule="auto"/>
              <w:ind w:left="114"/>
              <w:jc w:val="left"/>
              <w:rPr>
                <w:i/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5271" w:type="dxa"/>
            <w:gridSpan w:val="2"/>
            <w:vAlign w:val="center"/>
          </w:tcPr>
          <w:p w:rsidR="009749A3" w:rsidRPr="00395661" w:rsidRDefault="009749A3" w:rsidP="009749A3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Бюджет </w:t>
            </w:r>
            <w:r w:rsidRPr="009749A3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107768" w:rsidRPr="00395661" w:rsidTr="009D57DC">
        <w:tc>
          <w:tcPr>
            <w:tcW w:w="5271" w:type="dxa"/>
            <w:gridSpan w:val="2"/>
            <w:vAlign w:val="center"/>
          </w:tcPr>
          <w:p w:rsidR="00107768" w:rsidRPr="00395661" w:rsidRDefault="00107768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5271" w:type="dxa"/>
            <w:gridSpan w:val="2"/>
            <w:vAlign w:val="center"/>
          </w:tcPr>
          <w:p w:rsidR="009749A3" w:rsidRPr="00395661" w:rsidRDefault="009749A3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95661">
              <w:rPr>
                <w:i/>
                <w:sz w:val="22"/>
                <w:szCs w:val="22"/>
              </w:rPr>
              <w:t>/наименование субъекта Российской Федерации/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768" w:rsidRPr="00395661" w:rsidTr="009D57DC">
        <w:tc>
          <w:tcPr>
            <w:tcW w:w="5271" w:type="dxa"/>
            <w:gridSpan w:val="2"/>
            <w:vAlign w:val="center"/>
          </w:tcPr>
          <w:p w:rsidR="00107768" w:rsidRPr="00395661" w:rsidRDefault="00107768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107768" w:rsidRPr="00395661" w:rsidRDefault="00107768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9A3" w:rsidRPr="00395661" w:rsidTr="009D57DC">
        <w:tc>
          <w:tcPr>
            <w:tcW w:w="5271" w:type="dxa"/>
            <w:gridSpan w:val="2"/>
            <w:vAlign w:val="center"/>
          </w:tcPr>
          <w:p w:rsidR="009749A3" w:rsidRPr="00395661" w:rsidRDefault="009749A3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9749A3" w:rsidRPr="00395661" w:rsidRDefault="009749A3" w:rsidP="006B56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Pr="004310CB" w:rsidRDefault="00817E14">
      <w:pPr>
        <w:spacing w:line="240" w:lineRule="auto"/>
        <w:jc w:val="center"/>
        <w:rPr>
          <w:sz w:val="24"/>
        </w:rPr>
      </w:pPr>
      <w:r w:rsidRPr="004310CB">
        <w:rPr>
          <w:sz w:val="24"/>
        </w:rPr>
        <w:lastRenderedPageBreak/>
        <w:t xml:space="preserve">5. Участники </w:t>
      </w:r>
      <w:r w:rsidR="000B4F20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</w:t>
      </w:r>
    </w:p>
    <w:p w:rsidR="00F83482" w:rsidRDefault="00F83482">
      <w:pPr>
        <w:spacing w:line="240" w:lineRule="auto"/>
        <w:jc w:val="center"/>
        <w:rPr>
          <w:sz w:val="24"/>
        </w:rPr>
      </w:pPr>
    </w:p>
    <w:tbl>
      <w:tblPr>
        <w:tblW w:w="143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389"/>
        <w:gridCol w:w="3423"/>
        <w:gridCol w:w="3900"/>
        <w:gridCol w:w="2213"/>
        <w:gridCol w:w="1631"/>
      </w:tblGrid>
      <w:tr w:rsidR="00F83482" w:rsidRPr="00F96848" w:rsidTr="009D57DC">
        <w:tc>
          <w:tcPr>
            <w:tcW w:w="783" w:type="dxa"/>
          </w:tcPr>
          <w:p w:rsidR="00F83482" w:rsidRPr="00F96848" w:rsidRDefault="00F83482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Cs w:val="22"/>
              </w:rPr>
            </w:pPr>
            <w:r w:rsidRPr="00F96848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F96848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F96848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0" w:type="auto"/>
          </w:tcPr>
          <w:p w:rsidR="00F83482" w:rsidRPr="00F96848" w:rsidRDefault="00F83482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3423" w:type="dxa"/>
          </w:tcPr>
          <w:p w:rsidR="00F83482" w:rsidRPr="00F96848" w:rsidRDefault="00F83482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00" w:type="dxa"/>
          </w:tcPr>
          <w:p w:rsidR="00F83482" w:rsidRPr="00F96848" w:rsidRDefault="00F83482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F83482" w:rsidRPr="00F96848" w:rsidRDefault="00F83482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0" w:type="auto"/>
          </w:tcPr>
          <w:p w:rsidR="00F83482" w:rsidRPr="00F96848" w:rsidRDefault="00F83482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6B56F3" w:rsidRPr="00F96848" w:rsidTr="006B56F3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Руководитель </w:t>
            </w:r>
          </w:p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3900" w:type="dxa"/>
            <w:vAlign w:val="center"/>
          </w:tcPr>
          <w:p w:rsidR="006B56F3" w:rsidRPr="00AE7235" w:rsidRDefault="006B56F3" w:rsidP="006B56F3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по молодежной политике Ленинградской области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Н.П.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6B56F3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Бенера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900" w:type="dxa"/>
            <w:vAlign w:val="center"/>
          </w:tcPr>
          <w:p w:rsidR="006B56F3" w:rsidRPr="00AE7235" w:rsidRDefault="006B56F3" w:rsidP="006B56F3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proofErr w:type="gramStart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председателя-начальник</w:t>
            </w:r>
            <w:proofErr w:type="gramEnd"/>
            <w:r w:rsidRPr="00AE723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отдела профилактики асоциального поведения молодежи комитета по молодежной политике Ленинградской области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Общие организационные мероприятия по проекту</w:t>
            </w:r>
          </w:p>
        </w:tc>
      </w:tr>
      <w:tr w:rsidR="006B56F3" w:rsidRPr="00F96848" w:rsidTr="009D57DC">
        <w:trPr>
          <w:trHeight w:val="621"/>
        </w:trPr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395661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i/>
                <w:szCs w:val="22"/>
              </w:rPr>
            </w:pPr>
            <w:r w:rsidRPr="00395661">
              <w:rPr>
                <w:rFonts w:ascii="Times New Roman" w:hAnsi="Times New Roman"/>
                <w:iCs/>
                <w:szCs w:val="22"/>
              </w:rPr>
              <w:t>Создание и обеспечение функционирования одного ресурсного центра по поддержке добровольчества (волонтерства) в сфере культуры безопасности и ЧС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szCs w:val="22"/>
              </w:rPr>
            </w:pPr>
            <w:r w:rsidRPr="00F96848">
              <w:rPr>
                <w:rFonts w:ascii="Times New Roman" w:hAnsi="Times New Roman"/>
                <w:iCs/>
                <w:color w:val="000000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521782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П.С.</w:t>
            </w:r>
          </w:p>
        </w:tc>
        <w:tc>
          <w:tcPr>
            <w:tcW w:w="0" w:type="auto"/>
          </w:tcPr>
          <w:p w:rsidR="006B56F3" w:rsidRPr="00F96848" w:rsidRDefault="00521782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521782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szCs w:val="22"/>
              </w:rPr>
            </w:pPr>
            <w:r w:rsidRPr="00F96848">
              <w:rPr>
                <w:rFonts w:ascii="Times New Roman" w:hAnsi="Times New Roman"/>
                <w:iCs/>
                <w:szCs w:val="22"/>
              </w:rPr>
              <w:t xml:space="preserve">Под руководством высшего должностного лица субъекта Российской Федерации или его заместителя создан межведомственный орган </w:t>
            </w:r>
            <w:r w:rsidRPr="00F96848">
              <w:rPr>
                <w:rFonts w:ascii="Times New Roman" w:hAnsi="Times New Roman"/>
                <w:iCs/>
                <w:szCs w:val="22"/>
              </w:rPr>
              <w:br/>
              <w:t xml:space="preserve">по развитию добровольчества с участием представителей региональных органов государственной власти, некоммерческих, образовательных, </w:t>
            </w:r>
            <w:r w:rsidRPr="00F96848">
              <w:rPr>
                <w:rFonts w:ascii="Times New Roman" w:hAnsi="Times New Roman"/>
                <w:iCs/>
                <w:szCs w:val="22"/>
              </w:rPr>
              <w:lastRenderedPageBreak/>
              <w:t xml:space="preserve">добровольческих организаций и объединений, Общественной Палаты </w:t>
            </w:r>
            <w:r w:rsidR="00521782">
              <w:rPr>
                <w:rFonts w:ascii="Times New Roman" w:hAnsi="Times New Roman"/>
                <w:iCs/>
                <w:szCs w:val="22"/>
              </w:rPr>
              <w:t>Ленинградской области</w:t>
            </w:r>
            <w:r w:rsidRPr="00F96848">
              <w:rPr>
                <w:rFonts w:ascii="Times New Roman" w:hAnsi="Times New Roman"/>
                <w:iCs/>
                <w:szCs w:val="22"/>
              </w:rPr>
              <w:t xml:space="preserve"> и других заинтересованных лиц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П.С.</w:t>
            </w:r>
          </w:p>
        </w:tc>
        <w:tc>
          <w:tcPr>
            <w:tcW w:w="0" w:type="auto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iCs/>
                <w:color w:val="000000"/>
                <w:sz w:val="22"/>
                <w:szCs w:val="22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636FB9">
            <w:pPr>
              <w:spacing w:line="240" w:lineRule="auto"/>
              <w:ind w:left="250"/>
              <w:jc w:val="center"/>
              <w:rPr>
                <w:i/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>В добровольческую де</w:t>
            </w:r>
            <w:r>
              <w:rPr>
                <w:rFonts w:eastAsia="Calibri"/>
                <w:sz w:val="22"/>
                <w:szCs w:val="22"/>
              </w:rPr>
              <w:t>ятельность вовлечено не менее 540 000</w:t>
            </w:r>
            <w:r w:rsidRPr="00F96848">
              <w:rPr>
                <w:rFonts w:eastAsia="Calibri"/>
                <w:sz w:val="22"/>
                <w:szCs w:val="22"/>
              </w:rPr>
              <w:t xml:space="preserve"> граждан </w:t>
            </w:r>
            <w:r w:rsidR="00171705">
              <w:rPr>
                <w:rFonts w:eastAsia="Calibri"/>
                <w:sz w:val="22"/>
                <w:szCs w:val="22"/>
              </w:rPr>
              <w:t>Ленинградской области</w:t>
            </w:r>
            <w:r w:rsidRPr="00F96848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F96848">
              <w:rPr>
                <w:rFonts w:eastAsia="Calibri"/>
                <w:sz w:val="22"/>
                <w:szCs w:val="22"/>
              </w:rPr>
              <w:t xml:space="preserve">Не менее </w:t>
            </w:r>
            <w:r w:rsidR="00636FB9" w:rsidRPr="00636FB9">
              <w:rPr>
                <w:rFonts w:eastAsia="Calibri"/>
                <w:sz w:val="22"/>
                <w:szCs w:val="22"/>
              </w:rPr>
              <w:t>315</w:t>
            </w:r>
            <w:r w:rsidRPr="00636FB9">
              <w:rPr>
                <w:rFonts w:eastAsia="Calibri"/>
                <w:sz w:val="22"/>
                <w:szCs w:val="22"/>
              </w:rPr>
              <w:t xml:space="preserve"> организаций</w:t>
            </w:r>
            <w:r w:rsidRPr="00F96848">
              <w:rPr>
                <w:rFonts w:eastAsia="Calibri"/>
                <w:sz w:val="22"/>
                <w:szCs w:val="22"/>
              </w:rPr>
              <w:t xml:space="preserve">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proofErr w:type="gramEnd"/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530F9C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530F9C">
              <w:rPr>
                <w:rFonts w:eastAsia="Calibri"/>
                <w:sz w:val="22"/>
                <w:szCs w:val="22"/>
              </w:rPr>
              <w:t>13</w:t>
            </w:r>
            <w:r w:rsidRPr="00530F9C">
              <w:rPr>
                <w:rFonts w:eastAsia="Calibri"/>
                <w:sz w:val="22"/>
                <w:szCs w:val="22"/>
              </w:rPr>
              <w:t xml:space="preserve"> образовательных организаций среднего </w:t>
            </w:r>
            <w:r w:rsidR="00530F9C">
              <w:rPr>
                <w:rFonts w:eastAsia="Calibri"/>
                <w:sz w:val="22"/>
                <w:szCs w:val="22"/>
              </w:rPr>
              <w:t xml:space="preserve">профессионального </w:t>
            </w:r>
            <w:r w:rsidRPr="00530F9C">
              <w:rPr>
                <w:rFonts w:eastAsia="Calibri"/>
                <w:sz w:val="22"/>
                <w:szCs w:val="22"/>
              </w:rPr>
              <w:t>образования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530F9C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На базе не менее чем в 70% образовательных организаций </w:t>
            </w:r>
            <w:r w:rsidR="00530F9C">
              <w:rPr>
                <w:rFonts w:eastAsia="Calibri"/>
                <w:sz w:val="22"/>
                <w:szCs w:val="22"/>
              </w:rPr>
              <w:t>общего</w:t>
            </w:r>
            <w:r w:rsidRPr="00F96848">
              <w:rPr>
                <w:rFonts w:eastAsia="Calibri"/>
                <w:sz w:val="22"/>
                <w:szCs w:val="22"/>
              </w:rPr>
              <w:t>, среднего профессионального и высшего образования функционируют волонтерские центры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746F96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В 50% образовательных организациях </w:t>
            </w:r>
            <w:r w:rsidR="00746F96">
              <w:rPr>
                <w:rFonts w:eastAsia="Calibri"/>
                <w:sz w:val="22"/>
                <w:szCs w:val="22"/>
              </w:rPr>
              <w:t>общего</w:t>
            </w:r>
            <w:r w:rsidRPr="00F96848">
              <w:rPr>
                <w:rFonts w:eastAsia="Calibri"/>
                <w:sz w:val="22"/>
                <w:szCs w:val="22"/>
              </w:rPr>
              <w:t xml:space="preserve">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171705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В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Pr="00F96848">
              <w:rPr>
                <w:rFonts w:eastAsia="Calibri"/>
                <w:sz w:val="22"/>
                <w:szCs w:val="22"/>
              </w:rPr>
              <w:t xml:space="preserve">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="00171705">
              <w:rPr>
                <w:rFonts w:eastAsia="Calibri"/>
                <w:sz w:val="22"/>
                <w:szCs w:val="22"/>
              </w:rPr>
              <w:t>Ленинградской области</w:t>
            </w:r>
            <w:r w:rsidRPr="00F96848">
              <w:rPr>
                <w:rFonts w:eastAsia="Calibri"/>
                <w:sz w:val="22"/>
                <w:szCs w:val="22"/>
              </w:rPr>
              <w:t xml:space="preserve"> в федеральной программе повышения мобильности волонтеров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П.С.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395661">
            <w:pPr>
              <w:spacing w:line="240" w:lineRule="auto"/>
              <w:ind w:left="250"/>
              <w:jc w:val="center"/>
              <w:rPr>
                <w:i/>
                <w:sz w:val="22"/>
                <w:szCs w:val="22"/>
              </w:rPr>
            </w:pPr>
            <w:proofErr w:type="gramStart"/>
            <w:r w:rsidRPr="00F96848">
              <w:rPr>
                <w:rFonts w:eastAsia="Calibri"/>
                <w:iCs/>
                <w:color w:val="000000" w:themeColor="text1"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F96848">
              <w:rPr>
                <w:rStyle w:val="ad"/>
                <w:rFonts w:eastAsia="Calibri"/>
                <w:iCs/>
                <w:color w:val="000000" w:themeColor="text1"/>
                <w:sz w:val="22"/>
                <w:szCs w:val="22"/>
              </w:rPr>
              <w:footnoteReference w:id="10"/>
            </w:r>
            <w:r w:rsidRPr="00F96848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</w:t>
            </w:r>
            <w:r w:rsidRPr="00F96848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взаимодействие с волонтерами и добровольческими организациями</w:t>
            </w:r>
            <w:proofErr w:type="gramEnd"/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171705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Ежегодно в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6848">
              <w:rPr>
                <w:sz w:val="22"/>
                <w:szCs w:val="22"/>
              </w:rPr>
              <w:t>проведен региональный этап Всероссийского конкурса «Доброволец России»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П.С.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171705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proofErr w:type="gramStart"/>
            <w:r w:rsidRPr="00F96848">
              <w:rPr>
                <w:color w:val="000000" w:themeColor="text1"/>
                <w:sz w:val="22"/>
                <w:szCs w:val="22"/>
              </w:rPr>
              <w:t>В целях популяризации добровольчества (</w:t>
            </w:r>
            <w:proofErr w:type="spellStart"/>
            <w:r w:rsidRPr="00F96848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F96848">
              <w:rPr>
                <w:color w:val="000000" w:themeColor="text1"/>
                <w:sz w:val="22"/>
                <w:szCs w:val="22"/>
              </w:rPr>
              <w:t xml:space="preserve">) ежегодно в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Pr="0017170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проводится информационная и рекламная кампания в соответствии с федеральной концепцией, в том числе ежегодно изготавливается и размещается не менее </w:t>
            </w:r>
            <w:r w:rsidRPr="004310CB">
              <w:rPr>
                <w:sz w:val="22"/>
                <w:szCs w:val="22"/>
              </w:rPr>
              <w:t>500 рекламных материалов на наружных поверхностях, рекламные ролики на ТВ и в сети «Интернет» набирают не менее 500 000 просмотров е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жегодно, охват аудитории теле- и радиорекламы составляет не менее </w:t>
            </w:r>
            <w:r w:rsidR="00171705">
              <w:rPr>
                <w:sz w:val="22"/>
                <w:szCs w:val="22"/>
              </w:rPr>
              <w:t>180 000</w:t>
            </w:r>
            <w:r w:rsidRPr="004310CB">
              <w:rPr>
                <w:sz w:val="22"/>
                <w:szCs w:val="22"/>
              </w:rPr>
              <w:t xml:space="preserve"> человек</w:t>
            </w:r>
            <w:proofErr w:type="gramEnd"/>
            <w:r w:rsidRPr="004310CB">
              <w:rPr>
                <w:sz w:val="22"/>
                <w:szCs w:val="22"/>
              </w:rPr>
              <w:t xml:space="preserve"> ежегодно, а также в сети «Интернет» и социальных сетях размещается не менее 100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 информационных материалов в год.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4310CB" w:rsidRDefault="006B56F3" w:rsidP="00171705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4310CB">
              <w:rPr>
                <w:sz w:val="22"/>
                <w:szCs w:val="22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="00171705" w:rsidRPr="00171705">
              <w:rPr>
                <w:sz w:val="22"/>
                <w:szCs w:val="22"/>
              </w:rPr>
              <w:t>Ленинградской области</w:t>
            </w:r>
            <w:r w:rsidRPr="004310CB">
              <w:rPr>
                <w:sz w:val="22"/>
                <w:szCs w:val="22"/>
              </w:rPr>
              <w:t xml:space="preserve"> в не менее чем 3 всероссийских (международных) и в 1 окружном мероприятии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Макуха А.С.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171705">
            <w:pPr>
              <w:spacing w:line="240" w:lineRule="auto"/>
              <w:ind w:left="250"/>
              <w:jc w:val="center"/>
              <w:rPr>
                <w:color w:val="FF0000"/>
                <w:sz w:val="22"/>
                <w:szCs w:val="22"/>
              </w:rPr>
            </w:pPr>
            <w:r w:rsidRPr="00F96848">
              <w:rPr>
                <w:color w:val="000000"/>
                <w:sz w:val="22"/>
                <w:szCs w:val="22"/>
              </w:rPr>
              <w:t xml:space="preserve">Ежегодно в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="0017170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color w:val="000000"/>
                <w:sz w:val="22"/>
                <w:szCs w:val="22"/>
              </w:rPr>
              <w:t xml:space="preserve">внедрено не менее 3 практик развития добровольчества из </w:t>
            </w:r>
            <w:proofErr w:type="gramStart"/>
            <w:r w:rsidRPr="00F96848">
              <w:rPr>
                <w:color w:val="000000"/>
                <w:sz w:val="22"/>
                <w:szCs w:val="22"/>
              </w:rPr>
              <w:t>числа</w:t>
            </w:r>
            <w:proofErr w:type="gramEnd"/>
            <w:r w:rsidRPr="00F96848">
              <w:rPr>
                <w:color w:val="000000"/>
                <w:sz w:val="22"/>
                <w:szCs w:val="22"/>
              </w:rPr>
              <w:t xml:space="preserve"> рекомендованных, а также не менее 1 практики развития добровольчества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Pr="00F9684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color w:val="000000"/>
                <w:sz w:val="22"/>
                <w:szCs w:val="22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</w:t>
            </w:r>
            <w:r w:rsidRPr="00F96848">
              <w:rPr>
                <w:sz w:val="22"/>
                <w:szCs w:val="22"/>
              </w:rPr>
              <w:lastRenderedPageBreak/>
              <w:t>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rPr>
          <w:trHeight w:val="978"/>
        </w:trPr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171705">
            <w:pPr>
              <w:spacing w:line="240" w:lineRule="auto"/>
              <w:ind w:left="250"/>
              <w:jc w:val="center"/>
              <w:rPr>
                <w:color w:val="000000"/>
                <w:sz w:val="22"/>
                <w:szCs w:val="22"/>
              </w:rPr>
            </w:pPr>
            <w:r w:rsidRPr="00F96848">
              <w:rPr>
                <w:color w:val="000000"/>
                <w:sz w:val="22"/>
                <w:szCs w:val="22"/>
              </w:rPr>
              <w:t xml:space="preserve">Ежегодно в </w:t>
            </w:r>
            <w:r w:rsidR="00171705" w:rsidRPr="00171705">
              <w:rPr>
                <w:color w:val="000000"/>
                <w:sz w:val="22"/>
                <w:szCs w:val="22"/>
              </w:rPr>
              <w:t>Ленинградской области</w:t>
            </w:r>
            <w:r w:rsidRPr="00171705">
              <w:rPr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color w:val="000000"/>
                <w:sz w:val="22"/>
                <w:szCs w:val="22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П.С.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Н.В,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color w:val="000000" w:themeColor="text1"/>
                <w:sz w:val="22"/>
                <w:szCs w:val="22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 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Макуха А.С.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746F96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F96848">
              <w:rPr>
                <w:rFonts w:eastAsia="Calibri"/>
                <w:sz w:val="22"/>
                <w:szCs w:val="22"/>
              </w:rPr>
              <w:t xml:space="preserve">е менее чем в 70% образовательных организаций </w:t>
            </w:r>
            <w:r w:rsidR="00746F96">
              <w:rPr>
                <w:rFonts w:eastAsia="Calibri"/>
                <w:sz w:val="22"/>
                <w:szCs w:val="22"/>
              </w:rPr>
              <w:t>общего</w:t>
            </w:r>
            <w:r w:rsidRPr="00F96848">
              <w:rPr>
                <w:rFonts w:eastAsia="Calibri"/>
                <w:sz w:val="22"/>
                <w:szCs w:val="22"/>
              </w:rPr>
              <w:t>, среднего профессионального и высшего образования функционируют волонтерские центры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«Центр «Молодежный»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rPr>
          <w:trHeight w:val="1138"/>
        </w:trPr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color w:val="000000" w:themeColor="text1"/>
                <w:sz w:val="22"/>
                <w:szCs w:val="22"/>
              </w:rPr>
            </w:pPr>
            <w:r w:rsidRPr="00F96848">
              <w:rPr>
                <w:color w:val="000000" w:themeColor="text1"/>
                <w:sz w:val="22"/>
                <w:szCs w:val="22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F96848">
              <w:rPr>
                <w:iCs/>
                <w:color w:val="000000" w:themeColor="text1"/>
                <w:sz w:val="22"/>
                <w:szCs w:val="22"/>
              </w:rPr>
              <w:t>Форума молодых деятелей культуры и искусства «Таврида»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</w:t>
            </w:r>
            <w:proofErr w:type="spellStart"/>
            <w:r w:rsidRPr="00F9684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F96848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F96848">
              <w:rPr>
                <w:color w:val="000000" w:themeColor="text1"/>
                <w:sz w:val="22"/>
                <w:szCs w:val="22"/>
              </w:rPr>
              <w:t>имферополь</w:t>
            </w:r>
            <w:proofErr w:type="spellEnd"/>
            <w:r w:rsidRPr="00F9684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Макуха А.С.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14339" w:type="dxa"/>
            <w:gridSpan w:val="6"/>
          </w:tcPr>
          <w:p w:rsidR="006B56F3" w:rsidRPr="00F96848" w:rsidRDefault="006B56F3" w:rsidP="00F96848">
            <w:pPr>
              <w:spacing w:line="240" w:lineRule="auto"/>
              <w:ind w:left="250"/>
              <w:jc w:val="center"/>
              <w:rPr>
                <w:color w:val="000000" w:themeColor="text1"/>
                <w:sz w:val="22"/>
                <w:szCs w:val="22"/>
              </w:rPr>
            </w:pPr>
            <w:r w:rsidRPr="00F96848">
              <w:rPr>
                <w:color w:val="000000" w:themeColor="text1"/>
                <w:sz w:val="22"/>
                <w:szCs w:val="22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4310CB">
              <w:rPr>
                <w:sz w:val="22"/>
                <w:szCs w:val="22"/>
              </w:rPr>
              <w:t>Фестиваля «</w:t>
            </w:r>
            <w:proofErr w:type="gramStart"/>
            <w:r w:rsidRPr="004310CB">
              <w:rPr>
                <w:sz w:val="22"/>
                <w:szCs w:val="22"/>
              </w:rPr>
              <w:t>Таврида</w:t>
            </w:r>
            <w:proofErr w:type="gramEnd"/>
            <w:r w:rsidRPr="004310CB">
              <w:rPr>
                <w:sz w:val="22"/>
                <w:szCs w:val="22"/>
              </w:rPr>
              <w:t>-</w:t>
            </w:r>
            <w:proofErr w:type="spellStart"/>
            <w:r w:rsidRPr="004310CB">
              <w:rPr>
                <w:sz w:val="22"/>
                <w:szCs w:val="22"/>
              </w:rPr>
              <w:t>ArtRussia</w:t>
            </w:r>
            <w:proofErr w:type="spellEnd"/>
            <w:r w:rsidRPr="004310CB">
              <w:rPr>
                <w:sz w:val="22"/>
                <w:szCs w:val="22"/>
              </w:rPr>
              <w:t>»,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96848">
              <w:rPr>
                <w:sz w:val="22"/>
                <w:szCs w:val="22"/>
              </w:rPr>
              <w:t>Ответственный</w:t>
            </w:r>
            <w:proofErr w:type="gramEnd"/>
            <w:r w:rsidRPr="00F96848">
              <w:rPr>
                <w:sz w:val="22"/>
                <w:szCs w:val="22"/>
              </w:rPr>
              <w:t xml:space="preserve"> за достижение результата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3900" w:type="dxa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молодежной политики </w:t>
            </w:r>
          </w:p>
        </w:tc>
        <w:tc>
          <w:tcPr>
            <w:tcW w:w="0" w:type="auto"/>
          </w:tcPr>
          <w:p w:rsidR="006B56F3" w:rsidRPr="00F96848" w:rsidRDefault="006B56F3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А.Г.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6F3" w:rsidRPr="00F96848" w:rsidTr="009D57DC">
        <w:tc>
          <w:tcPr>
            <w:tcW w:w="783" w:type="dxa"/>
          </w:tcPr>
          <w:p w:rsidR="006B56F3" w:rsidRPr="00F96848" w:rsidRDefault="006B56F3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6B56F3" w:rsidRPr="00F96848" w:rsidRDefault="006B56F3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:rsidR="006B56F3" w:rsidRPr="00F96848" w:rsidRDefault="00887BCF" w:rsidP="006B56F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Макуха А.С.</w:t>
            </w:r>
          </w:p>
        </w:tc>
        <w:tc>
          <w:tcPr>
            <w:tcW w:w="0" w:type="auto"/>
          </w:tcPr>
          <w:p w:rsidR="006B56F3" w:rsidRPr="00F96848" w:rsidRDefault="00887BCF" w:rsidP="00B2662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Берденникова Н.В.</w:t>
            </w:r>
          </w:p>
        </w:tc>
        <w:tc>
          <w:tcPr>
            <w:tcW w:w="0" w:type="auto"/>
          </w:tcPr>
          <w:p w:rsidR="006B56F3" w:rsidRPr="00F96848" w:rsidRDefault="006B56F3" w:rsidP="00B26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31509" w:rsidRDefault="00C31509">
      <w:pPr>
        <w:spacing w:line="240" w:lineRule="auto"/>
        <w:rPr>
          <w:sz w:val="24"/>
        </w:rPr>
      </w:pPr>
    </w:p>
    <w:p w:rsidR="00F83482" w:rsidRDefault="00F83482">
      <w:pPr>
        <w:spacing w:line="240" w:lineRule="auto"/>
        <w:rPr>
          <w:sz w:val="24"/>
        </w:rPr>
      </w:pPr>
    </w:p>
    <w:p w:rsidR="00395661" w:rsidRDefault="00395661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 w:rsidP="00F96848">
      <w:pPr>
        <w:spacing w:line="276" w:lineRule="auto"/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31509" w:rsidRDefault="00817E14" w:rsidP="00F96848">
      <w:pPr>
        <w:spacing w:line="240" w:lineRule="auto"/>
        <w:ind w:left="10773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2C6023">
        <w:rPr>
          <w:sz w:val="24"/>
        </w:rPr>
        <w:t>регионального</w:t>
      </w:r>
      <w:r>
        <w:rPr>
          <w:sz w:val="24"/>
        </w:rPr>
        <w:t xml:space="preserve"> проекта </w:t>
      </w:r>
      <w:r w:rsidR="00940E98">
        <w:rPr>
          <w:sz w:val="24"/>
        </w:rPr>
        <w:t>«Социальная активность»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>ПЛАН МЕРОПРИЯТИЙ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 xml:space="preserve">по реализации </w:t>
      </w:r>
      <w:r w:rsidR="002C6023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 </w:t>
      </w:r>
      <w:r w:rsidR="00940E98" w:rsidRPr="004310CB">
        <w:rPr>
          <w:sz w:val="24"/>
        </w:rPr>
        <w:t>«Социальная активность»</w:t>
      </w: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16"/>
        <w:gridCol w:w="1418"/>
        <w:gridCol w:w="8"/>
        <w:gridCol w:w="1693"/>
        <w:gridCol w:w="8"/>
        <w:gridCol w:w="3111"/>
        <w:gridCol w:w="8"/>
        <w:gridCol w:w="2912"/>
        <w:gridCol w:w="8"/>
        <w:gridCol w:w="1293"/>
        <w:gridCol w:w="8"/>
      </w:tblGrid>
      <w:tr w:rsidR="00F83482" w:rsidRPr="00395661" w:rsidTr="009D57DC">
        <w:trPr>
          <w:trHeight w:val="491"/>
        </w:trPr>
        <w:tc>
          <w:tcPr>
            <w:tcW w:w="936" w:type="dxa"/>
            <w:vMerge w:val="restart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9566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95661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16" w:type="dxa"/>
            <w:vMerge w:val="restart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27" w:type="dxa"/>
            <w:gridSpan w:val="4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3119" w:type="dxa"/>
            <w:gridSpan w:val="2"/>
            <w:vMerge w:val="restart"/>
          </w:tcPr>
          <w:p w:rsidR="00F83482" w:rsidRPr="00395661" w:rsidRDefault="00F83482" w:rsidP="00A37D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vMerge w:val="restart"/>
          </w:tcPr>
          <w:p w:rsidR="00F83482" w:rsidRPr="00395661" w:rsidRDefault="00F83482" w:rsidP="00A37D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01" w:type="dxa"/>
            <w:gridSpan w:val="2"/>
            <w:vMerge w:val="restart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F83482" w:rsidRPr="00395661" w:rsidTr="009D57DC">
        <w:tc>
          <w:tcPr>
            <w:tcW w:w="936" w:type="dxa"/>
            <w:vMerge/>
          </w:tcPr>
          <w:p w:rsidR="00F83482" w:rsidRPr="00395661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F83482" w:rsidRPr="00395661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gridSpan w:val="2"/>
          </w:tcPr>
          <w:p w:rsidR="00F83482" w:rsidRPr="00395661" w:rsidRDefault="00F83482" w:rsidP="00B26624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gridSpan w:val="2"/>
            <w:vMerge/>
          </w:tcPr>
          <w:p w:rsidR="00F83482" w:rsidRPr="00395661" w:rsidRDefault="00F83482" w:rsidP="00A37D02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</w:tcPr>
          <w:p w:rsidR="00F83482" w:rsidRPr="00395661" w:rsidRDefault="00F83482" w:rsidP="00A37D02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F83482" w:rsidRPr="00395661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A19A4" w:rsidRPr="00395661" w:rsidTr="009D57DC">
        <w:tc>
          <w:tcPr>
            <w:tcW w:w="936" w:type="dxa"/>
          </w:tcPr>
          <w:p w:rsidR="003A19A4" w:rsidRPr="00395661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3A19A4" w:rsidRPr="00055066" w:rsidRDefault="003A19A4" w:rsidP="0039566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Создание и обеспечение функционирования одного </w:t>
            </w:r>
            <w:r w:rsidRPr="00055066">
              <w:rPr>
                <w:color w:val="000000" w:themeColor="text1"/>
                <w:sz w:val="24"/>
                <w:szCs w:val="24"/>
              </w:rPr>
              <w:t>ресурсного центра по поддержке добровольчества (волонтерства) в сфере культуры безопасности и ЧС</w:t>
            </w:r>
          </w:p>
        </w:tc>
        <w:tc>
          <w:tcPr>
            <w:tcW w:w="1426" w:type="dxa"/>
            <w:gridSpan w:val="2"/>
          </w:tcPr>
          <w:p w:rsidR="003A19A4" w:rsidRPr="00395661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A19A4" w:rsidRPr="00395661" w:rsidDel="004723C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19A4" w:rsidRPr="00395661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A19A4" w:rsidRPr="00395661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A19A4" w:rsidRPr="00395661" w:rsidRDefault="00887BCF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3A19A4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Распоряжение, приказ КМП ЛО</w:t>
            </w:r>
          </w:p>
        </w:tc>
        <w:tc>
          <w:tcPr>
            <w:tcW w:w="1301" w:type="dxa"/>
            <w:gridSpan w:val="2"/>
          </w:tcPr>
          <w:p w:rsidR="003A19A4" w:rsidRPr="00395661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9D7329" w:rsidRPr="00055066" w:rsidRDefault="009D7329" w:rsidP="0058235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iCs/>
                <w:color w:val="000000" w:themeColor="text1"/>
                <w:sz w:val="24"/>
                <w:szCs w:val="24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20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21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22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23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Распоряжение, приказ КМП ЛО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9D7329" w:rsidRPr="00055066" w:rsidRDefault="009D7329" w:rsidP="003A19A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Под руководством высшего должностного лица субъекта Российской Федерации или его заместителя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lastRenderedPageBreak/>
              <w:t>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Губернатора Ленинградской области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rPr>
          <w:trHeight w:val="415"/>
        </w:trPr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6" w:type="dxa"/>
          </w:tcPr>
          <w:p w:rsidR="009D7329" w:rsidRPr="00055066" w:rsidRDefault="009D7329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color w:val="000000" w:themeColor="text1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Постановления, распоряжения </w:t>
            </w:r>
            <w:r w:rsidRPr="00055066">
              <w:rPr>
                <w:color w:val="000000" w:themeColor="text1"/>
                <w:sz w:val="24"/>
                <w:szCs w:val="24"/>
              </w:rPr>
              <w:t>региональных и муниципальных органов государственной власти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rPr>
          <w:gridAfter w:val="1"/>
          <w:wAfter w:w="8" w:type="dxa"/>
        </w:trPr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9D7329" w:rsidRPr="00055066" w:rsidRDefault="009D7329" w:rsidP="0058235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iCs/>
                <w:color w:val="000000" w:themeColor="text1"/>
                <w:sz w:val="24"/>
                <w:szCs w:val="24"/>
              </w:rPr>
              <w:t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18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Распоряжение, приказ КМП ЛО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:rsidR="009D7329" w:rsidRPr="00055066" w:rsidRDefault="009D7329" w:rsidP="0052178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В добровольческую деятельность вовлечено не менее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540 000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граждан субъекта Российской Федерации. </w:t>
            </w:r>
            <w:proofErr w:type="gramStart"/>
            <w:r w:rsidRPr="00636FB9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</w:t>
            </w:r>
            <w:r w:rsidR="00636FB9" w:rsidRPr="00636FB9">
              <w:rPr>
                <w:rFonts w:eastAsia="Calibri"/>
                <w:color w:val="000000" w:themeColor="text1"/>
                <w:sz w:val="24"/>
                <w:szCs w:val="24"/>
              </w:rPr>
              <w:t>315</w:t>
            </w:r>
            <w:r w:rsidRPr="00636FB9">
              <w:rPr>
                <w:rFonts w:eastAsia="Calibri"/>
                <w:color w:val="000000" w:themeColor="text1"/>
                <w:sz w:val="24"/>
                <w:szCs w:val="24"/>
              </w:rPr>
              <w:t xml:space="preserve"> организаций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от общего числа добровольческих организаций и объединений использует </w:t>
            </w:r>
            <w:r w:rsidRPr="00055066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, представляющую собой систему эффективного поиска 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proofErr w:type="gramEnd"/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6" w:type="dxa"/>
          </w:tcPr>
          <w:p w:rsidR="009D7329" w:rsidRPr="00055066" w:rsidRDefault="009D7329" w:rsidP="00746F9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746F96">
              <w:rPr>
                <w:rFonts w:eastAsia="Calibri"/>
                <w:sz w:val="24"/>
                <w:szCs w:val="24"/>
              </w:rPr>
              <w:t xml:space="preserve"> образовательных организаций среднего </w:t>
            </w:r>
            <w:r>
              <w:rPr>
                <w:rFonts w:eastAsia="Calibri"/>
                <w:sz w:val="24"/>
                <w:szCs w:val="24"/>
              </w:rPr>
              <w:t xml:space="preserve">профессионального </w:t>
            </w:r>
            <w:r w:rsidRPr="00746F96">
              <w:rPr>
                <w:rFonts w:eastAsia="Calibri"/>
                <w:sz w:val="24"/>
                <w:szCs w:val="24"/>
              </w:rPr>
              <w:t xml:space="preserve">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Ленинградской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16" w:type="dxa"/>
          </w:tcPr>
          <w:p w:rsidR="009D7329" w:rsidRPr="00055066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чем в 70% образовательных организаций </w:t>
            </w:r>
            <w:r w:rsidR="00A37D02">
              <w:rPr>
                <w:rFonts w:eastAsia="Calibri"/>
                <w:color w:val="000000" w:themeColor="text1"/>
                <w:sz w:val="24"/>
                <w:szCs w:val="24"/>
              </w:rPr>
              <w:t>общего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>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3816" w:type="dxa"/>
          </w:tcPr>
          <w:p w:rsidR="009D7329" w:rsidRPr="00055066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В 50% образовательных организациях </w:t>
            </w:r>
            <w:r w:rsidR="00A37D02">
              <w:rPr>
                <w:rFonts w:eastAsia="Calibri"/>
                <w:color w:val="000000" w:themeColor="text1"/>
                <w:sz w:val="24"/>
                <w:szCs w:val="24"/>
              </w:rPr>
              <w:t>общего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16" w:type="dxa"/>
          </w:tcPr>
          <w:p w:rsidR="009D7329" w:rsidRPr="00055066" w:rsidRDefault="009D7329" w:rsidP="009D732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Pr="009D7329">
              <w:rPr>
                <w:color w:val="000000" w:themeColor="text1"/>
                <w:sz w:val="24"/>
                <w:szCs w:val="24"/>
              </w:rPr>
              <w:t>Ленинградской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действует утвержденная решением Правительства субъекта 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ab/>
              <w:t>31.12.2024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Постановление, распоряжение Правительства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6" w:type="dxa"/>
          </w:tcPr>
          <w:p w:rsidR="009D7329" w:rsidRPr="00055066" w:rsidRDefault="009D7329" w:rsidP="00D75B3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055066">
              <w:rPr>
                <w:rStyle w:val="ad"/>
                <w:rFonts w:eastAsia="Calibri"/>
                <w:iCs/>
                <w:color w:val="000000" w:themeColor="text1"/>
                <w:sz w:val="24"/>
                <w:szCs w:val="24"/>
              </w:rPr>
              <w:footnoteReference w:id="11"/>
            </w:r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</w:t>
            </w:r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взаимодействие с волонтерами и добровольческими организациями</w:t>
            </w:r>
            <w:proofErr w:type="gramEnd"/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ab/>
              <w:t>31.12.2024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7329" w:rsidRPr="00395661" w:rsidTr="009D57DC">
        <w:tc>
          <w:tcPr>
            <w:tcW w:w="936" w:type="dxa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</w:tcPr>
          <w:p w:rsidR="009D7329" w:rsidRPr="00055066" w:rsidRDefault="009D7329" w:rsidP="009D732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 w:rsidRPr="009D7329">
              <w:rPr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055066">
              <w:rPr>
                <w:color w:val="000000" w:themeColor="text1"/>
                <w:sz w:val="24"/>
                <w:szCs w:val="24"/>
              </w:rPr>
              <w:t>проведен региональный этап Всероссийского конкурса «Доброволец России»</w:t>
            </w:r>
          </w:p>
        </w:tc>
        <w:tc>
          <w:tcPr>
            <w:tcW w:w="1426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D7329" w:rsidRPr="00395661" w:rsidDel="004723C6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9D7329" w:rsidRPr="00395661" w:rsidRDefault="009D7329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9D7329" w:rsidRPr="00395661" w:rsidRDefault="009D7329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9D7329" w:rsidRPr="00395661" w:rsidRDefault="009D7329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3C6A" w:rsidRPr="00395661" w:rsidTr="009D57DC">
        <w:tc>
          <w:tcPr>
            <w:tcW w:w="936" w:type="dxa"/>
          </w:tcPr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16" w:type="dxa"/>
          </w:tcPr>
          <w:p w:rsidR="00153C6A" w:rsidRPr="00055066" w:rsidRDefault="00153C6A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5066">
              <w:rPr>
                <w:color w:val="000000" w:themeColor="text1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05506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55066">
              <w:rPr>
                <w:color w:val="000000" w:themeColor="text1"/>
                <w:sz w:val="24"/>
                <w:szCs w:val="24"/>
              </w:rPr>
              <w:t xml:space="preserve">) ежегодно в </w:t>
            </w:r>
            <w:r w:rsidRPr="00153C6A">
              <w:rPr>
                <w:color w:val="000000" w:themeColor="text1"/>
                <w:sz w:val="24"/>
                <w:szCs w:val="24"/>
              </w:rPr>
              <w:t>Ленинградской области</w:t>
            </w:r>
            <w:r w:rsidRPr="00055066">
              <w:rPr>
                <w:color w:val="000000" w:themeColor="text1"/>
                <w:sz w:val="24"/>
                <w:szCs w:val="24"/>
              </w:rPr>
              <w:t xml:space="preserve"> ежегодно 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</w:t>
            </w:r>
            <w:r w:rsidR="00A37D02">
              <w:rPr>
                <w:color w:val="000000" w:themeColor="text1"/>
                <w:sz w:val="24"/>
                <w:szCs w:val="24"/>
              </w:rPr>
              <w:t>180 000</w:t>
            </w:r>
            <w:proofErr w:type="gramEnd"/>
            <w:r w:rsidRPr="00055066">
              <w:rPr>
                <w:color w:val="000000" w:themeColor="text1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26" w:type="dxa"/>
            <w:gridSpan w:val="2"/>
          </w:tcPr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20</w:t>
            </w:r>
          </w:p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395661">
              <w:rPr>
                <w:color w:val="000000" w:themeColor="text1"/>
                <w:sz w:val="24"/>
                <w:szCs w:val="24"/>
              </w:rPr>
              <w:t>21</w:t>
            </w:r>
          </w:p>
          <w:p w:rsidR="00153C6A" w:rsidRPr="00395661" w:rsidDel="004723C6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153C6A" w:rsidRPr="00395661" w:rsidRDefault="00153C6A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153C6A" w:rsidRPr="00395661" w:rsidRDefault="00153C6A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153C6A" w:rsidRPr="00395661" w:rsidRDefault="00153C6A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153C6A" w:rsidRPr="00395661" w:rsidRDefault="00153C6A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153C6A" w:rsidRPr="00395661" w:rsidRDefault="00153C6A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153C6A" w:rsidRPr="00395661" w:rsidRDefault="00153C6A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16" w:type="dxa"/>
          </w:tcPr>
          <w:p w:rsidR="00A37D02" w:rsidRPr="00680200" w:rsidRDefault="00A37D02" w:rsidP="00A37D0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Pr="00A37D02">
              <w:rPr>
                <w:color w:val="000000" w:themeColor="text1"/>
                <w:sz w:val="24"/>
                <w:szCs w:val="24"/>
              </w:rPr>
              <w:t>Ленинградской области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 в не менее чем в 3 </w:t>
            </w:r>
            <w:r w:rsidRPr="00680200">
              <w:rPr>
                <w:color w:val="000000" w:themeColor="text1"/>
                <w:sz w:val="24"/>
                <w:szCs w:val="24"/>
              </w:rPr>
              <w:lastRenderedPageBreak/>
              <w:t>всероссийских (международных) и 1 окружном мероприятии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37D02" w:rsidRPr="00395661" w:rsidDel="004723C6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6" w:type="dxa"/>
          </w:tcPr>
          <w:p w:rsidR="00A37D02" w:rsidRPr="00680200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 w:rsidRPr="00A37D02">
              <w:rPr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внедрено не менее 3 практик развития добровольчества из </w:t>
            </w:r>
            <w:proofErr w:type="gramStart"/>
            <w:r w:rsidRPr="00680200">
              <w:rPr>
                <w:color w:val="000000" w:themeColor="text1"/>
                <w:sz w:val="24"/>
                <w:szCs w:val="24"/>
              </w:rPr>
              <w:t>числа</w:t>
            </w:r>
            <w:proofErr w:type="gramEnd"/>
            <w:r w:rsidRPr="00680200">
              <w:rPr>
                <w:color w:val="000000" w:themeColor="text1"/>
                <w:sz w:val="24"/>
                <w:szCs w:val="24"/>
              </w:rPr>
              <w:t xml:space="preserve"> рекомендованных, а также не менее 1 практики развития добровольчества </w:t>
            </w:r>
            <w:r w:rsidRPr="00A37D02">
              <w:rPr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680200">
              <w:rPr>
                <w:color w:val="000000" w:themeColor="text1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37D02" w:rsidRPr="00395661" w:rsidDel="004723C6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16" w:type="dxa"/>
          </w:tcPr>
          <w:p w:rsidR="00A37D02" w:rsidRPr="00680200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 w:rsidRPr="00A37D02">
              <w:rPr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37D02" w:rsidRPr="00395661" w:rsidDel="004723C6" w:rsidRDefault="00A37D02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4310CB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A37D02" w:rsidRPr="00395661" w:rsidRDefault="00A37D02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816" w:type="dxa"/>
          </w:tcPr>
          <w:p w:rsidR="00A37D02" w:rsidRPr="00680200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</w:t>
            </w:r>
            <w:r w:rsidRPr="00680200">
              <w:rPr>
                <w:color w:val="000000" w:themeColor="text1"/>
                <w:sz w:val="24"/>
                <w:szCs w:val="24"/>
              </w:rPr>
              <w:lastRenderedPageBreak/>
              <w:t>и профессионального развития, и обеспечено участие не менее 70% студентов к 2024 году.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37D02" w:rsidRPr="00395661" w:rsidDel="004723C6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D75B3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</w:t>
            </w:r>
            <w:r w:rsidRPr="00395661">
              <w:rPr>
                <w:color w:val="000000" w:themeColor="text1"/>
                <w:sz w:val="24"/>
                <w:szCs w:val="24"/>
              </w:rPr>
              <w:br/>
              <w:t xml:space="preserve"> на равных»</w:t>
            </w:r>
          </w:p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Список пользователей единого студенческого мобильного приложения «OnRussia»</w:t>
            </w:r>
          </w:p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149BF">
              <w:rPr>
                <w:sz w:val="24"/>
                <w:szCs w:val="24"/>
              </w:rPr>
              <w:t xml:space="preserve"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специального </w:t>
            </w:r>
            <w:r w:rsidRPr="00395661">
              <w:rPr>
                <w:color w:val="000000" w:themeColor="text1"/>
                <w:sz w:val="24"/>
                <w:szCs w:val="24"/>
              </w:rPr>
              <w:t>образования в рамках проекта дискуссионных студенческих клубов «Диалог на равных»</w:t>
            </w:r>
          </w:p>
          <w:p w:rsidR="00A37D02" w:rsidRPr="00395661" w:rsidRDefault="00A37D02" w:rsidP="00B266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17.2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</w:t>
            </w:r>
            <w:r w:rsidRPr="00395661">
              <w:rPr>
                <w:color w:val="000000" w:themeColor="text1"/>
                <w:sz w:val="24"/>
                <w:szCs w:val="24"/>
              </w:rPr>
              <w:br/>
              <w:t xml:space="preserve">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29.02.2024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17.3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приложения «OnRussia», 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3816" w:type="dxa"/>
          </w:tcPr>
          <w:p w:rsidR="00A37D02" w:rsidRPr="009830F4" w:rsidRDefault="00A37D02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30F4">
              <w:rPr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План мероприятий</w:t>
            </w:r>
          </w:p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Уставы региональных отделений Национальной лиги студенческих клубов </w:t>
            </w:r>
          </w:p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25.12.2022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816" w:type="dxa"/>
          </w:tcPr>
          <w:p w:rsidR="00A37D02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A37D02" w:rsidRPr="00680200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16" w:type="dxa"/>
          </w:tcPr>
          <w:p w:rsidR="00A37D02" w:rsidRPr="00680200" w:rsidRDefault="00A37D02" w:rsidP="00B266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680200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</w:t>
            </w:r>
            <w:r w:rsidRPr="00680200">
              <w:rPr>
                <w:color w:val="000000" w:themeColor="text1"/>
                <w:sz w:val="24"/>
                <w:szCs w:val="24"/>
              </w:rPr>
              <w:lastRenderedPageBreak/>
              <w:t xml:space="preserve">каждую представленную программу и смену от региона до аэропорта </w:t>
            </w:r>
            <w:proofErr w:type="spellStart"/>
            <w:r w:rsidRPr="0068020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8020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80200">
              <w:rPr>
                <w:color w:val="000000" w:themeColor="text1"/>
                <w:sz w:val="24"/>
                <w:szCs w:val="24"/>
              </w:rPr>
              <w:t>имферополь</w:t>
            </w:r>
            <w:proofErr w:type="spellEnd"/>
            <w:r w:rsidRPr="0068020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A37D02" w:rsidRPr="00395661" w:rsidRDefault="00A37D0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A37D02" w:rsidRPr="00395661" w:rsidRDefault="00A37D0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19.1.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19.2.</w:t>
            </w:r>
          </w:p>
        </w:tc>
        <w:tc>
          <w:tcPr>
            <w:tcW w:w="3816" w:type="dxa"/>
          </w:tcPr>
          <w:p w:rsidR="00A37D02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25.02.2020</w:t>
            </w:r>
          </w:p>
          <w:p w:rsidR="00A37D02" w:rsidRPr="00680200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20. </w:t>
            </w:r>
          </w:p>
        </w:tc>
        <w:tc>
          <w:tcPr>
            <w:tcW w:w="3816" w:type="dxa"/>
          </w:tcPr>
          <w:p w:rsidR="00A37D02" w:rsidRPr="00680200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</w:t>
            </w:r>
            <w:proofErr w:type="gramStart"/>
            <w:r w:rsidRPr="00680200">
              <w:rPr>
                <w:color w:val="000000" w:themeColor="text1"/>
                <w:sz w:val="24"/>
                <w:szCs w:val="24"/>
              </w:rPr>
              <w:t>Таврида</w:t>
            </w:r>
            <w:proofErr w:type="gramEnd"/>
            <w:r w:rsidRPr="00680200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80200">
              <w:rPr>
                <w:color w:val="000000" w:themeColor="text1"/>
                <w:sz w:val="24"/>
                <w:szCs w:val="24"/>
              </w:rPr>
              <w:t>ArtRussia</w:t>
            </w:r>
            <w:proofErr w:type="spellEnd"/>
            <w:r w:rsidRPr="00680200">
              <w:rPr>
                <w:color w:val="000000" w:themeColor="text1"/>
                <w:sz w:val="24"/>
                <w:szCs w:val="24"/>
              </w:rPr>
              <w:t>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395661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816" w:type="dxa"/>
          </w:tcPr>
          <w:p w:rsidR="00A37D02" w:rsidRPr="00395661" w:rsidRDefault="00A37D02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Проведена рекламная кампания Фестиваля «</w:t>
            </w:r>
            <w:proofErr w:type="gramStart"/>
            <w:r w:rsidRPr="00395661">
              <w:rPr>
                <w:color w:val="000000" w:themeColor="text1"/>
                <w:sz w:val="24"/>
                <w:szCs w:val="24"/>
              </w:rPr>
              <w:t>Таврида</w:t>
            </w:r>
            <w:proofErr w:type="gramEnd"/>
            <w:r w:rsidRPr="00395661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9830F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Аналитическая отчетность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7D02" w:rsidRPr="00395661" w:rsidTr="009D57DC">
        <w:tc>
          <w:tcPr>
            <w:tcW w:w="936" w:type="dxa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395661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816" w:type="dxa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В рамках основной программы Фестиваля приняли участие не менее 3 ведущих культурных организаций (театры, музеи, выставочные пространства)</w:t>
            </w:r>
          </w:p>
        </w:tc>
        <w:tc>
          <w:tcPr>
            <w:tcW w:w="1426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3119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Берденникова Н.В.</w:t>
            </w:r>
          </w:p>
        </w:tc>
        <w:tc>
          <w:tcPr>
            <w:tcW w:w="2920" w:type="dxa"/>
            <w:gridSpan w:val="2"/>
          </w:tcPr>
          <w:p w:rsidR="00A37D02" w:rsidRPr="00395661" w:rsidRDefault="00A37D02" w:rsidP="00A37D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7D02" w:rsidRPr="00395661" w:rsidRDefault="00A37D0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35E4" w:rsidRDefault="009635E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 w:rsidP="003922DE">
      <w:pPr>
        <w:spacing w:after="200" w:line="276" w:lineRule="auto"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:rsidR="00C31509" w:rsidRDefault="00817E14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E67456">
        <w:rPr>
          <w:sz w:val="24"/>
        </w:rPr>
        <w:t>регионального</w:t>
      </w:r>
      <w:r>
        <w:rPr>
          <w:sz w:val="24"/>
        </w:rPr>
        <w:t xml:space="preserve"> проекта </w:t>
      </w:r>
      <w:r w:rsidR="00940E98">
        <w:rPr>
          <w:sz w:val="24"/>
        </w:rPr>
        <w:t>«Социальная активность»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Pr="00D321A1" w:rsidRDefault="00817E14">
      <w:pPr>
        <w:spacing w:line="240" w:lineRule="auto"/>
        <w:jc w:val="center"/>
        <w:rPr>
          <w:i/>
          <w:sz w:val="24"/>
        </w:rPr>
      </w:pPr>
      <w:r>
        <w:rPr>
          <w:sz w:val="24"/>
        </w:rPr>
        <w:t xml:space="preserve">Показатели </w:t>
      </w:r>
      <w:r w:rsidR="00D321A1">
        <w:rPr>
          <w:sz w:val="24"/>
        </w:rPr>
        <w:t>регионального</w:t>
      </w:r>
      <w:r>
        <w:rPr>
          <w:sz w:val="24"/>
        </w:rPr>
        <w:t xml:space="preserve"> проекта по </w:t>
      </w:r>
      <w:r w:rsidR="00D321A1">
        <w:rPr>
          <w:sz w:val="24"/>
        </w:rPr>
        <w:t xml:space="preserve">муниципальным образованиям </w:t>
      </w:r>
      <w:r w:rsidR="00D321A1" w:rsidRPr="00D321A1">
        <w:rPr>
          <w:i/>
          <w:sz w:val="24"/>
        </w:rPr>
        <w:t xml:space="preserve">/наименование </w:t>
      </w:r>
      <w:r w:rsidRPr="00D321A1">
        <w:rPr>
          <w:i/>
          <w:sz w:val="24"/>
        </w:rPr>
        <w:t>субъекта Российской Федерации</w:t>
      </w:r>
      <w:r w:rsidR="00D321A1" w:rsidRPr="00D321A1">
        <w:rPr>
          <w:i/>
          <w:sz w:val="24"/>
        </w:rPr>
        <w:t>/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38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1843"/>
        <w:gridCol w:w="1701"/>
        <w:gridCol w:w="993"/>
        <w:gridCol w:w="992"/>
        <w:gridCol w:w="992"/>
        <w:gridCol w:w="992"/>
        <w:gridCol w:w="993"/>
        <w:gridCol w:w="992"/>
      </w:tblGrid>
      <w:tr w:rsidR="00C31509" w:rsidTr="00D321A1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D321A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</w:t>
            </w:r>
            <w:r w:rsidR="00817E14">
              <w:rPr>
                <w:sz w:val="24"/>
              </w:rPr>
              <w:t>убъект</w:t>
            </w:r>
            <w:r>
              <w:rPr>
                <w:sz w:val="24"/>
              </w:rPr>
              <w:t>а</w:t>
            </w:r>
            <w:r w:rsidR="00817E14">
              <w:rPr>
                <w:sz w:val="24"/>
              </w:rPr>
              <w:t xml:space="preserve"> 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 реализации федерального проекта, год</w:t>
            </w:r>
          </w:p>
        </w:tc>
      </w:tr>
      <w:tr w:rsidR="00C31509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C31509" w:rsidTr="00D321A1">
        <w:tc>
          <w:tcPr>
            <w:tcW w:w="13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 w:rsidP="00D321A1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(показатель </w:t>
            </w:r>
            <w:r w:rsidR="00D321A1">
              <w:rPr>
                <w:i/>
                <w:sz w:val="24"/>
              </w:rPr>
              <w:t>регионального</w:t>
            </w:r>
            <w:r>
              <w:rPr>
                <w:i/>
                <w:sz w:val="24"/>
              </w:rPr>
              <w:t xml:space="preserve"> проекта)</w:t>
            </w:r>
          </w:p>
        </w:tc>
      </w:tr>
      <w:tr w:rsidR="00C3150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D321A1">
              <w:rPr>
                <w:i/>
                <w:sz w:val="24"/>
              </w:rPr>
              <w:t xml:space="preserve">муниципальное образование </w:t>
            </w:r>
            <w:r>
              <w:rPr>
                <w:i/>
                <w:sz w:val="24"/>
              </w:rPr>
              <w:t>субъект</w:t>
            </w:r>
            <w:r w:rsidR="00D321A1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C31509">
      <w:pPr>
        <w:spacing w:line="240" w:lineRule="auto"/>
        <w:jc w:val="left"/>
        <w:rPr>
          <w:b/>
          <w:sz w:val="24"/>
        </w:rPr>
      </w:pPr>
    </w:p>
    <w:sectPr w:rsidR="00C31509" w:rsidSect="003E4C79">
      <w:pgSz w:w="16840" w:h="11907" w:orient="landscape"/>
      <w:pgMar w:top="993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A2" w:rsidRDefault="00E05CA2" w:rsidP="006502EF">
      <w:pPr>
        <w:spacing w:line="240" w:lineRule="auto"/>
      </w:pPr>
      <w:r>
        <w:separator/>
      </w:r>
    </w:p>
  </w:endnote>
  <w:endnote w:type="continuationSeparator" w:id="0">
    <w:p w:rsidR="00E05CA2" w:rsidRDefault="00E05CA2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A2" w:rsidRDefault="00E05CA2" w:rsidP="006502EF">
      <w:pPr>
        <w:spacing w:line="240" w:lineRule="auto"/>
      </w:pPr>
      <w:r>
        <w:separator/>
      </w:r>
    </w:p>
  </w:footnote>
  <w:footnote w:type="continuationSeparator" w:id="0">
    <w:p w:rsidR="00E05CA2" w:rsidRDefault="00E05CA2" w:rsidP="006502EF">
      <w:pPr>
        <w:spacing w:line="240" w:lineRule="auto"/>
      </w:pPr>
      <w:r>
        <w:continuationSeparator/>
      </w:r>
    </w:p>
  </w:footnote>
  <w:footnote w:id="1">
    <w:p w:rsidR="009830F4" w:rsidRPr="00D75B32" w:rsidRDefault="009830F4" w:rsidP="00D75B32">
      <w:pPr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</w:t>
      </w:r>
      <w:r w:rsidRPr="00D75B32">
        <w:rPr>
          <w:b/>
          <w:bCs/>
          <w:sz w:val="16"/>
          <w:szCs w:val="16"/>
        </w:rPr>
        <w:t>.</w:t>
      </w:r>
    </w:p>
  </w:footnote>
  <w:footnote w:id="2">
    <w:p w:rsidR="009830F4" w:rsidRPr="00D75B32" w:rsidRDefault="009830F4" w:rsidP="00D75B32">
      <w:pPr>
        <w:pStyle w:val="aa"/>
        <w:spacing w:line="240" w:lineRule="auto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D75B32"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3">
    <w:p w:rsidR="009830F4" w:rsidRPr="00D75B32" w:rsidRDefault="009830F4" w:rsidP="00D75B32">
      <w:pPr>
        <w:pStyle w:val="aa"/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4">
    <w:p w:rsidR="009830F4" w:rsidRPr="002254AC" w:rsidRDefault="009830F4" w:rsidP="00D75B32">
      <w:pPr>
        <w:pStyle w:val="aa"/>
        <w:spacing w:line="240" w:lineRule="auto"/>
      </w:pPr>
    </w:p>
  </w:footnote>
  <w:footnote w:id="5">
    <w:p w:rsidR="009830F4" w:rsidRDefault="009830F4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</w:t>
      </w:r>
      <w:r w:rsidRPr="00B07A1B">
        <w:t>Результат формируется накопительным итогом по отношению к соответствующему году</w:t>
      </w:r>
    </w:p>
  </w:footnote>
  <w:footnote w:id="6">
    <w:p w:rsidR="009830F4" w:rsidRPr="002254AC" w:rsidRDefault="009830F4" w:rsidP="00AE7235">
      <w:pPr>
        <w:pStyle w:val="aa"/>
        <w:spacing w:line="240" w:lineRule="auto"/>
      </w:pPr>
    </w:p>
  </w:footnote>
  <w:footnote w:id="7">
    <w:p w:rsidR="009830F4" w:rsidRDefault="009830F4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Федеральная концепция рекламной кампании разрабатывается  ФГБУ «</w:t>
      </w:r>
      <w:proofErr w:type="spellStart"/>
      <w:r>
        <w:t>Роспатриотцентр</w:t>
      </w:r>
      <w:proofErr w:type="spellEnd"/>
      <w:r>
        <w:t xml:space="preserve">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8">
    <w:p w:rsidR="009830F4" w:rsidRPr="008C61D8" w:rsidRDefault="009830F4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</w:t>
      </w:r>
      <w:r w:rsidRPr="008C61D8">
        <w:t xml:space="preserve">Данный показатель составляет 10% от численности населения субъекта Российской Федерации </w:t>
      </w:r>
    </w:p>
  </w:footnote>
  <w:footnote w:id="9">
    <w:p w:rsidR="009830F4" w:rsidRPr="00B56426" w:rsidRDefault="009830F4" w:rsidP="00AE7235">
      <w:pPr>
        <w:pStyle w:val="aa"/>
        <w:spacing w:line="240" w:lineRule="auto"/>
        <w:rPr>
          <w:color w:val="000000" w:themeColor="text1"/>
        </w:rPr>
      </w:pPr>
      <w:r w:rsidRPr="00B56426">
        <w:rPr>
          <w:rStyle w:val="ad"/>
          <w:color w:val="000000" w:themeColor="text1"/>
        </w:rPr>
        <w:footnoteRef/>
      </w:r>
      <w:r w:rsidRPr="00B56426">
        <w:rPr>
          <w:color w:val="000000" w:themeColor="text1"/>
        </w:rPr>
        <w:t xml:space="preserve"> Данный показатель составляет 10% от численности населения субъекта Российской Федерации </w:t>
      </w:r>
    </w:p>
  </w:footnote>
  <w:footnote w:id="10">
    <w:p w:rsidR="009830F4" w:rsidRPr="00395661" w:rsidRDefault="009830F4" w:rsidP="00395661">
      <w:pPr>
        <w:pStyle w:val="aa"/>
        <w:spacing w:line="240" w:lineRule="auto"/>
        <w:rPr>
          <w:sz w:val="16"/>
          <w:szCs w:val="16"/>
        </w:rPr>
      </w:pPr>
    </w:p>
  </w:footnote>
  <w:footnote w:id="11">
    <w:p w:rsidR="009830F4" w:rsidRPr="002254AC" w:rsidRDefault="009830F4" w:rsidP="00F8348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34"/>
    <w:rsid w:val="0001460F"/>
    <w:rsid w:val="00026828"/>
    <w:rsid w:val="00031435"/>
    <w:rsid w:val="00036B9C"/>
    <w:rsid w:val="0004367B"/>
    <w:rsid w:val="00052262"/>
    <w:rsid w:val="00055066"/>
    <w:rsid w:val="000724A7"/>
    <w:rsid w:val="00075434"/>
    <w:rsid w:val="000978B1"/>
    <w:rsid w:val="000A1034"/>
    <w:rsid w:val="000A2B4A"/>
    <w:rsid w:val="000B4F20"/>
    <w:rsid w:val="000D78B7"/>
    <w:rsid w:val="000E4511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25B04"/>
    <w:rsid w:val="0014535E"/>
    <w:rsid w:val="00146E0A"/>
    <w:rsid w:val="00153C6A"/>
    <w:rsid w:val="00166641"/>
    <w:rsid w:val="0016692E"/>
    <w:rsid w:val="00167902"/>
    <w:rsid w:val="001705C9"/>
    <w:rsid w:val="00171705"/>
    <w:rsid w:val="00175140"/>
    <w:rsid w:val="001A758F"/>
    <w:rsid w:val="001C3E07"/>
    <w:rsid w:val="001D6359"/>
    <w:rsid w:val="001E35C5"/>
    <w:rsid w:val="001E7190"/>
    <w:rsid w:val="001E7F67"/>
    <w:rsid w:val="001F2344"/>
    <w:rsid w:val="001F76C5"/>
    <w:rsid w:val="00226BF9"/>
    <w:rsid w:val="00252F68"/>
    <w:rsid w:val="00281F90"/>
    <w:rsid w:val="00290EDE"/>
    <w:rsid w:val="0029618A"/>
    <w:rsid w:val="002C293E"/>
    <w:rsid w:val="002C6023"/>
    <w:rsid w:val="002E013F"/>
    <w:rsid w:val="002E02AD"/>
    <w:rsid w:val="002F33E4"/>
    <w:rsid w:val="002F51B3"/>
    <w:rsid w:val="002F7CC7"/>
    <w:rsid w:val="0030723C"/>
    <w:rsid w:val="0030763F"/>
    <w:rsid w:val="003118DF"/>
    <w:rsid w:val="00316204"/>
    <w:rsid w:val="003252B5"/>
    <w:rsid w:val="0036453D"/>
    <w:rsid w:val="00376A9D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6572"/>
    <w:rsid w:val="003D6EFE"/>
    <w:rsid w:val="003E4C79"/>
    <w:rsid w:val="003F5C00"/>
    <w:rsid w:val="00403C0B"/>
    <w:rsid w:val="00411870"/>
    <w:rsid w:val="004214EC"/>
    <w:rsid w:val="00430A1E"/>
    <w:rsid w:val="00430DD0"/>
    <w:rsid w:val="004310CB"/>
    <w:rsid w:val="004341EA"/>
    <w:rsid w:val="004438D3"/>
    <w:rsid w:val="004464F7"/>
    <w:rsid w:val="00467439"/>
    <w:rsid w:val="004714A2"/>
    <w:rsid w:val="00474C3F"/>
    <w:rsid w:val="00483B0F"/>
    <w:rsid w:val="004B19D3"/>
    <w:rsid w:val="004C02FC"/>
    <w:rsid w:val="004C67F3"/>
    <w:rsid w:val="004D310A"/>
    <w:rsid w:val="004D3D22"/>
    <w:rsid w:val="004D46B3"/>
    <w:rsid w:val="004E6099"/>
    <w:rsid w:val="004E7CE1"/>
    <w:rsid w:val="004F1C63"/>
    <w:rsid w:val="005014E7"/>
    <w:rsid w:val="00501A5E"/>
    <w:rsid w:val="00515ADA"/>
    <w:rsid w:val="00521782"/>
    <w:rsid w:val="00530F9C"/>
    <w:rsid w:val="00532DE9"/>
    <w:rsid w:val="0053324E"/>
    <w:rsid w:val="005333BC"/>
    <w:rsid w:val="0053350B"/>
    <w:rsid w:val="005377F5"/>
    <w:rsid w:val="0054406D"/>
    <w:rsid w:val="00574FE6"/>
    <w:rsid w:val="00582356"/>
    <w:rsid w:val="00586A59"/>
    <w:rsid w:val="005D0600"/>
    <w:rsid w:val="005D7C99"/>
    <w:rsid w:val="005E1894"/>
    <w:rsid w:val="005E24F4"/>
    <w:rsid w:val="005E2893"/>
    <w:rsid w:val="005E4321"/>
    <w:rsid w:val="005E504B"/>
    <w:rsid w:val="005F0B1C"/>
    <w:rsid w:val="00622CCD"/>
    <w:rsid w:val="00636FB9"/>
    <w:rsid w:val="006502EF"/>
    <w:rsid w:val="006623B9"/>
    <w:rsid w:val="00680200"/>
    <w:rsid w:val="006A0927"/>
    <w:rsid w:val="006B2057"/>
    <w:rsid w:val="006B478A"/>
    <w:rsid w:val="006B56F3"/>
    <w:rsid w:val="006C015D"/>
    <w:rsid w:val="006C6FB8"/>
    <w:rsid w:val="006C7852"/>
    <w:rsid w:val="006D3E44"/>
    <w:rsid w:val="006D5DD4"/>
    <w:rsid w:val="00700EB4"/>
    <w:rsid w:val="00734D3C"/>
    <w:rsid w:val="007360A0"/>
    <w:rsid w:val="0073614A"/>
    <w:rsid w:val="00746F96"/>
    <w:rsid w:val="00747E3E"/>
    <w:rsid w:val="00755F8D"/>
    <w:rsid w:val="007626A3"/>
    <w:rsid w:val="00762F05"/>
    <w:rsid w:val="00767939"/>
    <w:rsid w:val="00770355"/>
    <w:rsid w:val="0078004D"/>
    <w:rsid w:val="007813DF"/>
    <w:rsid w:val="007820E6"/>
    <w:rsid w:val="00784FC8"/>
    <w:rsid w:val="007A1233"/>
    <w:rsid w:val="007B1EC9"/>
    <w:rsid w:val="007B62B0"/>
    <w:rsid w:val="007D42E9"/>
    <w:rsid w:val="007E7575"/>
    <w:rsid w:val="007F0B3D"/>
    <w:rsid w:val="00802891"/>
    <w:rsid w:val="0080672E"/>
    <w:rsid w:val="00813D03"/>
    <w:rsid w:val="00817E14"/>
    <w:rsid w:val="008366DE"/>
    <w:rsid w:val="00856B3D"/>
    <w:rsid w:val="00863F6C"/>
    <w:rsid w:val="00876CF5"/>
    <w:rsid w:val="00887BCF"/>
    <w:rsid w:val="0089473F"/>
    <w:rsid w:val="008970D0"/>
    <w:rsid w:val="008A04C7"/>
    <w:rsid w:val="008C61D8"/>
    <w:rsid w:val="008C7E37"/>
    <w:rsid w:val="008D39B4"/>
    <w:rsid w:val="008D4AA0"/>
    <w:rsid w:val="008D56FB"/>
    <w:rsid w:val="008D7C5A"/>
    <w:rsid w:val="008E0C03"/>
    <w:rsid w:val="008F6945"/>
    <w:rsid w:val="0092085F"/>
    <w:rsid w:val="00935366"/>
    <w:rsid w:val="00937787"/>
    <w:rsid w:val="00940E98"/>
    <w:rsid w:val="00945ABE"/>
    <w:rsid w:val="00945FA1"/>
    <w:rsid w:val="009601F2"/>
    <w:rsid w:val="00960F12"/>
    <w:rsid w:val="009635E4"/>
    <w:rsid w:val="009749A3"/>
    <w:rsid w:val="00976C8D"/>
    <w:rsid w:val="009830F4"/>
    <w:rsid w:val="00991535"/>
    <w:rsid w:val="0099339B"/>
    <w:rsid w:val="009A3DFC"/>
    <w:rsid w:val="009A5071"/>
    <w:rsid w:val="009A6903"/>
    <w:rsid w:val="009B02C9"/>
    <w:rsid w:val="009C3276"/>
    <w:rsid w:val="009D57DC"/>
    <w:rsid w:val="009D59EF"/>
    <w:rsid w:val="009D7329"/>
    <w:rsid w:val="009F20F5"/>
    <w:rsid w:val="009F6C96"/>
    <w:rsid w:val="00A04E3E"/>
    <w:rsid w:val="00A149BF"/>
    <w:rsid w:val="00A23FC9"/>
    <w:rsid w:val="00A37D02"/>
    <w:rsid w:val="00A41D4F"/>
    <w:rsid w:val="00A554EB"/>
    <w:rsid w:val="00A556E0"/>
    <w:rsid w:val="00A6024C"/>
    <w:rsid w:val="00A910B7"/>
    <w:rsid w:val="00AA0AE2"/>
    <w:rsid w:val="00AA1272"/>
    <w:rsid w:val="00AB604E"/>
    <w:rsid w:val="00AC4DB0"/>
    <w:rsid w:val="00AD2D43"/>
    <w:rsid w:val="00AE188C"/>
    <w:rsid w:val="00AE7235"/>
    <w:rsid w:val="00AF16E1"/>
    <w:rsid w:val="00B02779"/>
    <w:rsid w:val="00B05F06"/>
    <w:rsid w:val="00B20B33"/>
    <w:rsid w:val="00B23FC0"/>
    <w:rsid w:val="00B26624"/>
    <w:rsid w:val="00B34795"/>
    <w:rsid w:val="00B57988"/>
    <w:rsid w:val="00B6031B"/>
    <w:rsid w:val="00B60F7F"/>
    <w:rsid w:val="00B902BA"/>
    <w:rsid w:val="00B94CCA"/>
    <w:rsid w:val="00B96DD8"/>
    <w:rsid w:val="00BA2A27"/>
    <w:rsid w:val="00BA6776"/>
    <w:rsid w:val="00BB08AF"/>
    <w:rsid w:val="00BF0C62"/>
    <w:rsid w:val="00C0379B"/>
    <w:rsid w:val="00C14C63"/>
    <w:rsid w:val="00C20262"/>
    <w:rsid w:val="00C21A37"/>
    <w:rsid w:val="00C31509"/>
    <w:rsid w:val="00C63688"/>
    <w:rsid w:val="00C83C56"/>
    <w:rsid w:val="00C929FD"/>
    <w:rsid w:val="00CA6ADD"/>
    <w:rsid w:val="00CD0C25"/>
    <w:rsid w:val="00CD1B89"/>
    <w:rsid w:val="00CD3F8C"/>
    <w:rsid w:val="00CF2A3B"/>
    <w:rsid w:val="00CF2EAC"/>
    <w:rsid w:val="00D216A6"/>
    <w:rsid w:val="00D321A1"/>
    <w:rsid w:val="00D34B3C"/>
    <w:rsid w:val="00D34E8A"/>
    <w:rsid w:val="00D45D0D"/>
    <w:rsid w:val="00D519DC"/>
    <w:rsid w:val="00D639E1"/>
    <w:rsid w:val="00D75B32"/>
    <w:rsid w:val="00D81BBB"/>
    <w:rsid w:val="00DA6AEA"/>
    <w:rsid w:val="00DA787C"/>
    <w:rsid w:val="00DB2A2C"/>
    <w:rsid w:val="00DE7F8C"/>
    <w:rsid w:val="00DF5294"/>
    <w:rsid w:val="00E0220B"/>
    <w:rsid w:val="00E05CA2"/>
    <w:rsid w:val="00E148B9"/>
    <w:rsid w:val="00E16FA6"/>
    <w:rsid w:val="00E27D1C"/>
    <w:rsid w:val="00E324F1"/>
    <w:rsid w:val="00E45298"/>
    <w:rsid w:val="00E5196A"/>
    <w:rsid w:val="00E52DCA"/>
    <w:rsid w:val="00E67456"/>
    <w:rsid w:val="00E848A8"/>
    <w:rsid w:val="00E90D98"/>
    <w:rsid w:val="00E958AB"/>
    <w:rsid w:val="00EB4FF6"/>
    <w:rsid w:val="00EC4C7A"/>
    <w:rsid w:val="00EC76AC"/>
    <w:rsid w:val="00ED2F84"/>
    <w:rsid w:val="00EE0391"/>
    <w:rsid w:val="00EF2200"/>
    <w:rsid w:val="00EF6F46"/>
    <w:rsid w:val="00F03F94"/>
    <w:rsid w:val="00F05509"/>
    <w:rsid w:val="00F066B8"/>
    <w:rsid w:val="00F2675F"/>
    <w:rsid w:val="00F41ACD"/>
    <w:rsid w:val="00F83482"/>
    <w:rsid w:val="00F84804"/>
    <w:rsid w:val="00F91729"/>
    <w:rsid w:val="00F95CF0"/>
    <w:rsid w:val="00F95F77"/>
    <w:rsid w:val="00F96848"/>
    <w:rsid w:val="00FB58B7"/>
    <w:rsid w:val="00FC3492"/>
    <w:rsid w:val="00FD49EA"/>
    <w:rsid w:val="00FF003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1420-8A1B-4CF3-B2CF-98E34F4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6857</Words>
  <Characters>39090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45856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Марина Ивановна Орлова</cp:lastModifiedBy>
  <cp:revision>15</cp:revision>
  <cp:lastPrinted>2018-12-12T15:08:00Z</cp:lastPrinted>
  <dcterms:created xsi:type="dcterms:W3CDTF">2018-12-02T20:19:00Z</dcterms:created>
  <dcterms:modified xsi:type="dcterms:W3CDTF">2019-01-16T08:45:00Z</dcterms:modified>
</cp:coreProperties>
</file>