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E" w:rsidRDefault="001B61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611E" w:rsidRDefault="001B611E">
      <w:pPr>
        <w:pStyle w:val="ConsPlusNormal"/>
        <w:jc w:val="both"/>
        <w:outlineLvl w:val="0"/>
      </w:pPr>
    </w:p>
    <w:p w:rsidR="001B611E" w:rsidRDefault="001B61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611E" w:rsidRDefault="001B611E">
      <w:pPr>
        <w:pStyle w:val="ConsPlusTitle"/>
        <w:jc w:val="center"/>
      </w:pPr>
    </w:p>
    <w:p w:rsidR="001B611E" w:rsidRDefault="001B611E">
      <w:pPr>
        <w:pStyle w:val="ConsPlusTitle"/>
        <w:jc w:val="center"/>
      </w:pPr>
      <w:r>
        <w:t>ПОСТАНОВЛЕНИЕ</w:t>
      </w:r>
    </w:p>
    <w:p w:rsidR="001B611E" w:rsidRDefault="001B611E">
      <w:pPr>
        <w:pStyle w:val="ConsPlusTitle"/>
        <w:jc w:val="center"/>
      </w:pPr>
      <w:r>
        <w:t>от 6 июля 2015 г. N 676</w:t>
      </w:r>
    </w:p>
    <w:p w:rsidR="001B611E" w:rsidRDefault="001B611E">
      <w:pPr>
        <w:pStyle w:val="ConsPlusTitle"/>
        <w:jc w:val="center"/>
      </w:pPr>
    </w:p>
    <w:p w:rsidR="001B611E" w:rsidRDefault="001B611E">
      <w:pPr>
        <w:pStyle w:val="ConsPlusTitle"/>
        <w:jc w:val="center"/>
      </w:pPr>
      <w:r>
        <w:t>О ТРЕБОВАНИЯХ</w:t>
      </w:r>
    </w:p>
    <w:p w:rsidR="001B611E" w:rsidRDefault="001B611E">
      <w:pPr>
        <w:pStyle w:val="ConsPlusTitle"/>
        <w:jc w:val="center"/>
      </w:pPr>
      <w:r>
        <w:t>К ПОРЯДКУ СОЗДАНИЯ, РАЗВИТИЯ, ВВОДА В ЭКСПЛУАТАЦИЮ,</w:t>
      </w:r>
    </w:p>
    <w:p w:rsidR="001B611E" w:rsidRDefault="001B611E">
      <w:pPr>
        <w:pStyle w:val="ConsPlusTitle"/>
        <w:jc w:val="center"/>
      </w:pPr>
      <w:r>
        <w:t>ЭКСПЛУАТАЦИИ И ВЫВОДА ИЗ ЭКСПЛУАТАЦИИ ГОСУДАРСТВЕННЫХ</w:t>
      </w:r>
    </w:p>
    <w:p w:rsidR="001B611E" w:rsidRDefault="001B611E">
      <w:pPr>
        <w:pStyle w:val="ConsPlusTitle"/>
        <w:jc w:val="center"/>
      </w:pPr>
      <w:r>
        <w:t>ИНФОРМАЦИОННЫХ СИСТЕМ И ДАЛЬНЕЙШЕГО ХРАНЕНИЯ</w:t>
      </w:r>
    </w:p>
    <w:p w:rsidR="001B611E" w:rsidRDefault="001B611E">
      <w:pPr>
        <w:pStyle w:val="ConsPlusTitle"/>
        <w:jc w:val="center"/>
      </w:pPr>
      <w:r>
        <w:t>СОДЕРЖАЩЕЙСЯ В ИХ БАЗАХ ДАННЫХ ИНФОРМАЦИИ</w:t>
      </w:r>
    </w:p>
    <w:p w:rsidR="001B611E" w:rsidRDefault="001B611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B611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11E" w:rsidRDefault="001B6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1E" w:rsidRDefault="001B6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6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11E" w:rsidRDefault="001B6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611E" w:rsidRDefault="001B611E">
      <w:pPr>
        <w:pStyle w:val="ConsPlusNormal"/>
        <w:jc w:val="center"/>
      </w:pPr>
    </w:p>
    <w:p w:rsidR="001B611E" w:rsidRDefault="001B611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14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2. Установить, что мероприятия, предусмотренные </w:t>
      </w:r>
      <w:hyperlink w:anchor="P33" w:history="1">
        <w:r>
          <w:rPr>
            <w:color w:val="0000FF"/>
          </w:rPr>
          <w:t>требованиями</w:t>
        </w:r>
      </w:hyperlink>
      <w:r>
        <w:t xml:space="preserve">, утвержденными настоящим постановлением, осуществляются федеральными органами исполнительной власти в пределах бюджетных ассигнований, предусмотренных федеральным законом о федеральном бюджете на соответствующий финансовый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3. Рекомендовать иным государственным органам, помимо федеральных органов исполнительной власти и органов исполнительной власти субъектов Российской Федерации, а также органам управления государственными внебюджетными фондами, органам местного самоуправления руководствоваться в своей деятельности </w:t>
      </w:r>
      <w:hyperlink w:anchor="P33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right"/>
      </w:pPr>
      <w:r>
        <w:t>Председатель Правительства</w:t>
      </w:r>
    </w:p>
    <w:p w:rsidR="001B611E" w:rsidRDefault="001B611E">
      <w:pPr>
        <w:pStyle w:val="ConsPlusNormal"/>
        <w:jc w:val="right"/>
      </w:pPr>
      <w:r>
        <w:t>Российской Федерации</w:t>
      </w:r>
    </w:p>
    <w:p w:rsidR="001B611E" w:rsidRDefault="001B611E">
      <w:pPr>
        <w:pStyle w:val="ConsPlusNormal"/>
        <w:jc w:val="right"/>
      </w:pPr>
      <w:r>
        <w:t>Д.МЕДВЕДЕВ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right"/>
        <w:outlineLvl w:val="0"/>
      </w:pPr>
      <w:r>
        <w:t>Утверждены</w:t>
      </w:r>
    </w:p>
    <w:p w:rsidR="001B611E" w:rsidRDefault="001B611E">
      <w:pPr>
        <w:pStyle w:val="ConsPlusNormal"/>
        <w:jc w:val="right"/>
      </w:pPr>
      <w:r>
        <w:t>постановлением Правительства</w:t>
      </w:r>
    </w:p>
    <w:p w:rsidR="001B611E" w:rsidRDefault="001B611E">
      <w:pPr>
        <w:pStyle w:val="ConsPlusNormal"/>
        <w:jc w:val="right"/>
      </w:pPr>
      <w:r>
        <w:t>Российской Федерации</w:t>
      </w:r>
    </w:p>
    <w:p w:rsidR="001B611E" w:rsidRDefault="001B611E">
      <w:pPr>
        <w:pStyle w:val="ConsPlusNormal"/>
        <w:jc w:val="right"/>
      </w:pPr>
      <w:r>
        <w:t>от 6 июля 2015 г. N 676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1B611E" w:rsidRDefault="001B611E">
      <w:pPr>
        <w:pStyle w:val="ConsPlusTitle"/>
        <w:jc w:val="center"/>
      </w:pPr>
      <w:r>
        <w:t>К ПОРЯДКУ СОЗДАНИЯ, РАЗВИТИЯ, ВВОДА В ЭКСПЛУАТАЦИЮ,</w:t>
      </w:r>
    </w:p>
    <w:p w:rsidR="001B611E" w:rsidRDefault="001B611E">
      <w:pPr>
        <w:pStyle w:val="ConsPlusTitle"/>
        <w:jc w:val="center"/>
      </w:pPr>
      <w:r>
        <w:t>ЭКСПЛУАТАЦИИ И ВЫВОДА ИЗ ЭКСПЛУАТАЦИИ ГОСУДАРС</w:t>
      </w:r>
      <w:bookmarkStart w:id="1" w:name="_GoBack"/>
      <w:bookmarkEnd w:id="1"/>
      <w:r>
        <w:t>ТВЕННЫХ</w:t>
      </w:r>
    </w:p>
    <w:p w:rsidR="001B611E" w:rsidRDefault="001B611E">
      <w:pPr>
        <w:pStyle w:val="ConsPlusTitle"/>
        <w:jc w:val="center"/>
      </w:pPr>
      <w:r>
        <w:t>ИНФОРМАЦИОННЫХ СИСТЕМ И ДАЛЬНЕЙШЕГО ХРАНЕНИЯ</w:t>
      </w:r>
    </w:p>
    <w:p w:rsidR="001B611E" w:rsidRDefault="001B611E">
      <w:pPr>
        <w:pStyle w:val="ConsPlusTitle"/>
        <w:jc w:val="center"/>
      </w:pPr>
      <w:r>
        <w:t>СОДЕРЖАЩЕЙСЯ В ИХ БАЗАХ ДАННЫХ ИНФОРМАЦИИ</w:t>
      </w:r>
    </w:p>
    <w:p w:rsidR="001B611E" w:rsidRDefault="001B611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B611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11E" w:rsidRDefault="001B6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1E" w:rsidRDefault="001B6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9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11E" w:rsidRDefault="001B6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10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  <w:outlineLvl w:val="1"/>
      </w:pPr>
      <w:r>
        <w:t>I. Общие положения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требования к порядку реализации мероприятий по созданию, развитию, вводу в эксплуатацию, эксплуатации и выводу из эксплуатации государственных информационных систем и дальнейшему хранению содержащейся в их базах данных информации, осуществляемых федеральными органами исполнительной власти и органами исполнительной власти субъектов Российской Федерации (далее соответственно - система, органы исполнительной власти) в целях повышения эффективности реализации полномочий органов исполнительной власти в результате</w:t>
      </w:r>
      <w:proofErr w:type="gramEnd"/>
      <w:r>
        <w:t xml:space="preserve"> использования информационно-коммуникационных технологий.</w:t>
      </w:r>
    </w:p>
    <w:p w:rsidR="001B611E" w:rsidRDefault="001B611E">
      <w:pPr>
        <w:pStyle w:val="ConsPlusNormal"/>
        <w:spacing w:before="200"/>
        <w:ind w:firstLine="540"/>
        <w:jc w:val="both"/>
      </w:pPr>
      <w:bookmarkStart w:id="2" w:name="P45"/>
      <w:bookmarkEnd w:id="2"/>
      <w:r>
        <w:t>1(1). При реализации органами исполнительной власти мероприятий по созданию, развитию, вводу в эксплуатацию, эксплуатации и выводу из эксплуатации систем и дальнейшему хранению содержащейся в их базах данных информации должны выполняться:</w:t>
      </w:r>
    </w:p>
    <w:p w:rsidR="001B611E" w:rsidRDefault="001B611E">
      <w:pPr>
        <w:pStyle w:val="ConsPlusNormal"/>
        <w:spacing w:before="200"/>
        <w:ind w:firstLine="540"/>
        <w:jc w:val="both"/>
      </w:pPr>
      <w:bookmarkStart w:id="3" w:name="P46"/>
      <w:bookmarkEnd w:id="3"/>
      <w:proofErr w:type="gramStart"/>
      <w:r>
        <w:t>а) требования о защите информации, содержащейся в системах, устанавливаемые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полномочий;</w:t>
      </w:r>
      <w:proofErr w:type="gramEnd"/>
    </w:p>
    <w:p w:rsidR="001B611E" w:rsidRDefault="001B611E">
      <w:pPr>
        <w:pStyle w:val="ConsPlusNormal"/>
        <w:spacing w:before="200"/>
        <w:ind w:firstLine="540"/>
        <w:jc w:val="both"/>
      </w:pPr>
      <w:r>
        <w:t>б) требования к организации и мерам защиты информации, содержащейся в системе.</w:t>
      </w:r>
    </w:p>
    <w:p w:rsidR="001B611E" w:rsidRDefault="001B611E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1(2). В целях выполнения требований о защите информации, предусмотренных </w:t>
      </w:r>
      <w:hyperlink w:anchor="P45" w:history="1">
        <w:r>
          <w:rPr>
            <w:color w:val="0000FF"/>
          </w:rPr>
          <w:t>пунктом 1(1)</w:t>
        </w:r>
      </w:hyperlink>
      <w:r>
        <w:t xml:space="preserve"> настоящего документа (далее - требования о защите информации), органы исполнительной власти определяют требования к защите информации, содержащейся в системе органа исполнительной власти, для чего осуществляют: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определение информации, подлежащей защите от неправомерных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анализ нормативных правовых актов, методических документов и национальных стандартов, которым должна соответствовать система;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классификацию системы в соответствии с требованиями о защите информации;</w:t>
      </w:r>
    </w:p>
    <w:p w:rsidR="001B611E" w:rsidRDefault="001B611E">
      <w:pPr>
        <w:pStyle w:val="ConsPlusNormal"/>
        <w:spacing w:before="200"/>
        <w:ind w:firstLine="540"/>
        <w:jc w:val="both"/>
      </w:pPr>
      <w:bookmarkStart w:id="4" w:name="P53"/>
      <w:bookmarkEnd w:id="4"/>
      <w:r>
        <w:t>г) определение угроз безопасности информации, реализация которых может привести к нарушению безопасности информации в системе, и разработку на их основе модели угроз безопасности информации;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д) определение требований к информационной системе (подсистеме) защиты информации, содержащейся в системе.</w:t>
      </w:r>
    </w:p>
    <w:p w:rsidR="001B611E" w:rsidRDefault="001B611E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  <w:outlineLvl w:val="1"/>
      </w:pPr>
      <w:r>
        <w:t>II. Требования к порядку создания системы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ind w:firstLine="540"/>
        <w:jc w:val="both"/>
      </w:pPr>
      <w:r>
        <w:t>2. Основанием для создания системы является: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обязанность органа исполнительной власти по созданию системы, предусмотренная нормативными правовыми актами;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решение органа исполнительной власти о создании системы с целью обеспечения реализации возложенных на него полномочий.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3. Создание системы осуществляется в соответствии с техническим заданием с учетом модели угроз безопасности информации, предусмотренной </w:t>
      </w:r>
      <w:hyperlink w:anchor="P53" w:history="1">
        <w:r>
          <w:rPr>
            <w:color w:val="0000FF"/>
          </w:rPr>
          <w:t>подпунктом "г" пункта 1(2)</w:t>
        </w:r>
      </w:hyperlink>
      <w:r>
        <w:t xml:space="preserve"> настоящего документа.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Модель угроз безопасности информации и (или) техническое задание на создание системы согласуются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в части, касающейся выполнения установленных требований о защите информации.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lastRenderedPageBreak/>
        <w:t xml:space="preserve">Техническое задание на создание системы должно включать сформированные в соответствии с </w:t>
      </w:r>
      <w:hyperlink w:anchor="P46" w:history="1">
        <w:r>
          <w:rPr>
            <w:color w:val="0000FF"/>
          </w:rPr>
          <w:t>подпунктом "а" пункта 1(1)</w:t>
        </w:r>
      </w:hyperlink>
      <w:r>
        <w:t xml:space="preserve"> настоящего документа требования к защите информации, содержащейся в системе.</w:t>
      </w:r>
    </w:p>
    <w:p w:rsidR="001B611E" w:rsidRDefault="001B611E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4. Техническое задание на создание системы и модель угроз безопасности информации утверждаются должностным лицом органа исполнительной власти, на которое возложены соответствующие полномочия.</w:t>
      </w:r>
    </w:p>
    <w:p w:rsidR="001B611E" w:rsidRDefault="001B611E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5. Порядок создания системы включает следующие последовательно реализуемые этапы: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разработка документации на систему и ее части;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разработка рабочей документации на систему и ее части;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разработка или адаптация программного обеспечения;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г) пусконаладочные работы;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д) проведение предварительных испытаний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е) проведение опытной эксплуатации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ж) проведение приемочных испытаний системы.</w:t>
      </w:r>
    </w:p>
    <w:p w:rsidR="001B611E" w:rsidRDefault="001B611E">
      <w:pPr>
        <w:pStyle w:val="ConsPlusNormal"/>
        <w:spacing w:before="200"/>
        <w:ind w:firstLine="540"/>
        <w:jc w:val="both"/>
      </w:pPr>
      <w:bookmarkStart w:id="5" w:name="P76"/>
      <w:bookmarkEnd w:id="5"/>
      <w:r>
        <w:t>6. Этап разработки документации на систему и ее части включает разработку, согласование и утверждение документации в объеме, необходимом для описания полной совокупности проектных решений (в том числе по защите информации) и достаточном для дальнейшего выполнения работ по созданию системы.</w:t>
      </w:r>
    </w:p>
    <w:p w:rsidR="001B611E" w:rsidRDefault="001B611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bookmarkStart w:id="6" w:name="P78"/>
      <w:bookmarkEnd w:id="6"/>
      <w:r>
        <w:t xml:space="preserve">7. </w:t>
      </w:r>
      <w:proofErr w:type="gramStart"/>
      <w:r>
        <w:t xml:space="preserve">Этап разработки рабочей документации на систему и ее части включает разработку, согласование и утверждение документации, содержащей сведения, необходимые для выполнения работ по вводу системы в эксплуатацию и ее эксплуатации, и порядка эксплуатации системы, содержащего сведения, необходимые для выполнения работ по поддержанию уровня эксплуатационных характеристик (качества) системы (в том числе по защите информации), установленных в проектных решениях, указанных в </w:t>
      </w:r>
      <w:hyperlink w:anchor="P76" w:history="1">
        <w:r>
          <w:rPr>
            <w:color w:val="0000FF"/>
          </w:rPr>
          <w:t>пункте 6</w:t>
        </w:r>
        <w:proofErr w:type="gramEnd"/>
      </w:hyperlink>
      <w:r>
        <w:t xml:space="preserve"> настоящего документа, в том числе:</w:t>
      </w:r>
    </w:p>
    <w:p w:rsidR="001B611E" w:rsidRDefault="001B611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перечень действий сотрудников при выполнении задач по эксплуатации системы, включая перечень, виды, объемы и периодичность выполнения работ по обеспечению функционирования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контроль работоспособности системы и компонентов, обеспечивающих защиту информации;</w:t>
      </w:r>
    </w:p>
    <w:p w:rsidR="001B611E" w:rsidRDefault="001B611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перечень неисправностей, которые могут возникнуть в процессе эксплуатации системы, и рекомендации в отношении действий при их возникновении;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г) перечень режимов работы системы и их характеристики, а также порядок и правила перевода системы с одного режима работы на другой с указанием необходимого для этого времени.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8. Этап разработки или адаптации программного обеспечения включает разработку программного обеспечения системы, выбор и адаптацию приобретаемого программного обеспечения, а также в установленных случаях и порядке сертификацию разработанного программного обеспечения системы и средств защиты информации по требованиям безопасности информации.</w:t>
      </w:r>
    </w:p>
    <w:p w:rsidR="001B611E" w:rsidRDefault="001B61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9. Этап пусконаладочных работ включает автономную наладку технических средств и программного обеспечения частей системы, загрузку информации в ее базу данных, комплексную наладку технических средств и программного обеспечения системы, включая средства защиты информации.</w:t>
      </w:r>
    </w:p>
    <w:p w:rsidR="001B611E" w:rsidRDefault="001B611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10. Этап проведения предварительных испытаний включает: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разработку программы и методики предварительных испытаний, в соответствии с которыми осуществляется проверка системы на работоспособность и соответствие техническому заданию на ее создание;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проверку системы на работоспособность и соответствие техническому заданию на ее создание;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в) устранение выявленных при проведении таких испытаний неисправностей и внесение изменений в </w:t>
      </w:r>
      <w:proofErr w:type="gramStart"/>
      <w:r>
        <w:t>документацию</w:t>
      </w:r>
      <w:proofErr w:type="gramEnd"/>
      <w:r>
        <w:t xml:space="preserve"> и рабочую документацию на систему;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г) оформление протокола испытаний и акта о приемке системы в опытную эксплуатацию.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11. Этап проведения опытной эксплуатации включает: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разработку программы и методики опытной эксплуатации;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опытную эксплуатацию системы в соответствии с программой и методикой опытной эксплуатации;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доработку программного обеспечения системы и дополнительную наладку технических сре</w:t>
      </w:r>
      <w:proofErr w:type="gramStart"/>
      <w:r>
        <w:t>дств в сл</w:t>
      </w:r>
      <w:proofErr w:type="gramEnd"/>
      <w:r>
        <w:t>учае обнаружения недостатков, выявленных при опытной эксплуатации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г) оформление акта о завершении опытной эксплуатации, включающего перечень недостатков, которые необходимо устранить до начала эксплуатации системы.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12. Этап проведения приемочных испытаний включает: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испытания системы на соответствие техническому заданию на ее создание в соответствии с программой и методикой приемочных испытаний;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анализ результатов устранения недостатков, указанных в акте о завершении опытной эксплуатации;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оформление акта о приемке системы в эксплуатацию.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  <w:outlineLvl w:val="1"/>
      </w:pPr>
      <w:r>
        <w:t>III. Требования к порядку ввода системы в эксплуатацию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ind w:firstLine="540"/>
        <w:jc w:val="both"/>
      </w:pPr>
      <w:bookmarkStart w:id="7" w:name="P106"/>
      <w:bookmarkEnd w:id="7"/>
      <w:r>
        <w:t xml:space="preserve">13. Основанием для ввода системы в эксплуатацию является правовой </w:t>
      </w:r>
      <w:hyperlink r:id="rId20" w:history="1">
        <w:r>
          <w:rPr>
            <w:color w:val="0000FF"/>
          </w:rPr>
          <w:t>акт</w:t>
        </w:r>
      </w:hyperlink>
      <w:r>
        <w:t xml:space="preserve"> органа исполнительной власти о вводе системы в эксплуатацию, определяющий перечень мероприятий по обеспечению ввода системы в эксплуатацию и устанавливающий срок начала эксплуатации.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14. Правовой акт органа исполнительной власти о вводе системы в эксплуатацию включает:</w:t>
      </w:r>
    </w:p>
    <w:p w:rsidR="001B611E" w:rsidRDefault="001B611E">
      <w:pPr>
        <w:pStyle w:val="ConsPlusNormal"/>
        <w:spacing w:before="200"/>
        <w:ind w:firstLine="540"/>
        <w:jc w:val="both"/>
      </w:pPr>
      <w:proofErr w:type="gramStart"/>
      <w:r>
        <w:t>а) мероприятия по разработке и утверждению организационно-распорядительных документов, определяющих мероприятия по защите информации в ходе эксплуатации системы,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  <w:proofErr w:type="gramEnd"/>
    </w:p>
    <w:p w:rsidR="001B611E" w:rsidRDefault="001B611E">
      <w:pPr>
        <w:pStyle w:val="ConsPlusNormal"/>
        <w:spacing w:before="200"/>
        <w:ind w:firstLine="540"/>
        <w:jc w:val="both"/>
      </w:pPr>
      <w:proofErr w:type="gramStart"/>
      <w:r>
        <w:t>б) мероприятия по аттестации системы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 законодательством Российской Федерации об информации, информационных технологиях и о защите информации;</w:t>
      </w:r>
      <w:proofErr w:type="gramEnd"/>
    </w:p>
    <w:p w:rsidR="001B611E" w:rsidRDefault="001B611E">
      <w:pPr>
        <w:pStyle w:val="ConsPlusNormal"/>
        <w:spacing w:before="200"/>
        <w:ind w:firstLine="540"/>
        <w:jc w:val="both"/>
      </w:pPr>
      <w:r>
        <w:t>в) мероприятия по подготовке органа исполнительной власти к эксплуатации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г) мероприятия по подготовке должностных лиц органа исполнительной власти к эксплуатации системы, включая лиц, ответственных за обеспечение защиты информации.</w:t>
      </w:r>
    </w:p>
    <w:p w:rsidR="001B611E" w:rsidRDefault="001B611E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bookmarkStart w:id="8" w:name="P113"/>
      <w:bookmarkEnd w:id="8"/>
      <w:r>
        <w:t>15. Ввод системы в эксплуатацию не допускается в следующих случаях: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невыполнение установленных законодательством Российской Федерации требований о защите информации, включая отсутствие действующего аттестата соответствия требованиям безопасности информации;</w:t>
      </w:r>
    </w:p>
    <w:p w:rsidR="001B611E" w:rsidRDefault="001B611E">
      <w:pPr>
        <w:pStyle w:val="ConsPlusNormal"/>
        <w:spacing w:before="200"/>
        <w:ind w:firstLine="540"/>
        <w:jc w:val="both"/>
      </w:pPr>
      <w:proofErr w:type="gramStart"/>
      <w:r>
        <w:t xml:space="preserve">б) отсутствие в реестре территориального размещения объектов контроля, предусмотренном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постановлением Правительства Российской Федерации от 6 июля 2015 г. N 675 "О порядке осуществления контроля за соблюдением требований, предусмотренных частью 2.1 статьи</w:t>
      </w:r>
      <w:proofErr w:type="gramEnd"/>
      <w:r>
        <w:t xml:space="preserve"> 13 и частью 6 статьи 14 Федерального закона "Об информации, информационных технологиях и о защите информации", сведений о размещении технических средств информационной системы на территории Российской Федерации;</w:t>
      </w:r>
    </w:p>
    <w:p w:rsidR="001B611E" w:rsidRDefault="001B611E">
      <w:pPr>
        <w:pStyle w:val="ConsPlusNormal"/>
        <w:spacing w:before="200"/>
        <w:ind w:firstLine="540"/>
        <w:jc w:val="both"/>
      </w:pPr>
      <w:proofErr w:type="gramStart"/>
      <w:r>
        <w:t xml:space="preserve">в) невыполнение требований настоящего раздела, выявленных в ходе осуществления контроля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675 "О порядке осуществления контроля за</w:t>
      </w:r>
      <w:proofErr w:type="gramEnd"/>
      <w:r>
        <w:t xml:space="preserve"> соблюдением требований, предусмотренных частью 2.1 статьи 13 и частью 6 статьи 14 Федерального закона "Об информации, информационных технологиях и о защите информации".</w:t>
      </w:r>
    </w:p>
    <w:p w:rsidR="001B611E" w:rsidRDefault="001B611E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16. Срок начала эксплуатации системы не может быть ранее срока окончания последнего мероприятия, предусмотренного правовым актом органа исполнительной власти о вводе системы в эксплуатацию.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  <w:outlineLvl w:val="1"/>
      </w:pPr>
      <w:r>
        <w:t>IV. Требования к порядку развития системы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ind w:firstLine="540"/>
        <w:jc w:val="both"/>
      </w:pPr>
      <w:r>
        <w:t>17. Мероприятия по развитию системы осуществляются в соответствии с требованиями, установленными для создания системы.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  <w:outlineLvl w:val="1"/>
      </w:pPr>
      <w:r>
        <w:t>V. Требования к порядку эксплуатации системы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ind w:firstLine="540"/>
        <w:jc w:val="both"/>
      </w:pPr>
      <w:r>
        <w:t xml:space="preserve">18. Основанием для начала эксплуатации системы является наступление срока, установленного правовым актом органа исполнительной власти о вводе системы в эксплуатацию, указанным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документа.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19. Орган исполнительной власти осуществляет эксплуатацию системы в соответствии с рабочей документацией, указанной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документа.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19(1). Эксплуатация системы не допускается в случаях, указанных в </w:t>
      </w:r>
      <w:hyperlink r:id="rId25" w:history="1">
        <w:r>
          <w:rPr>
            <w:color w:val="0000FF"/>
          </w:rPr>
          <w:t>части 7 статьи 14</w:t>
        </w:r>
      </w:hyperlink>
      <w:r>
        <w:t xml:space="preserve"> Федерального закона "Об информации, информационных технологиях и о защите информации", а также в </w:t>
      </w:r>
      <w:hyperlink w:anchor="P113" w:history="1">
        <w:r>
          <w:rPr>
            <w:color w:val="0000FF"/>
          </w:rPr>
          <w:t>пункте 15</w:t>
        </w:r>
      </w:hyperlink>
      <w:r>
        <w:t xml:space="preserve"> настоящего документа.</w:t>
      </w:r>
    </w:p>
    <w:p w:rsidR="001B611E" w:rsidRDefault="001B611E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Title"/>
        <w:jc w:val="center"/>
        <w:outlineLvl w:val="1"/>
      </w:pPr>
      <w:r>
        <w:t>VI. Требования к порядку вывода системы</w:t>
      </w:r>
    </w:p>
    <w:p w:rsidR="001B611E" w:rsidRDefault="001B611E">
      <w:pPr>
        <w:pStyle w:val="ConsPlusTitle"/>
        <w:jc w:val="center"/>
      </w:pPr>
      <w:r>
        <w:t>из эксплуатации и дальнейшего хранения содержащейся</w:t>
      </w:r>
    </w:p>
    <w:p w:rsidR="001B611E" w:rsidRDefault="001B611E">
      <w:pPr>
        <w:pStyle w:val="ConsPlusTitle"/>
        <w:jc w:val="center"/>
      </w:pPr>
      <w:r>
        <w:t>в ее базах данных информации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ind w:firstLine="540"/>
        <w:jc w:val="both"/>
      </w:pPr>
      <w:bookmarkStart w:id="9" w:name="P135"/>
      <w:bookmarkEnd w:id="9"/>
      <w:r>
        <w:t>20. Основанием для вывода системы из эксплуатации является: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завершение срока эксплуатации системы, в случае если такой срок был установлен правовым актом органа исполнительной власти о вводе системы в эксплуатацию;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нецелесообразность эксплуатации системы, в том числе низкая эффективность используемых технических средств и программного обеспечения, изменение правового регулирования, принятие управленческих решений, а также наличие иных изменений, препятствующих эксплуатации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финансово-экономическая неэффективность эксплуатации системы.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 xml:space="preserve">21. При наличии одного или нескольких оснований для вывода системы из эксплуатации, указанных в </w:t>
      </w:r>
      <w:hyperlink w:anchor="P135" w:history="1">
        <w:r>
          <w:rPr>
            <w:color w:val="0000FF"/>
          </w:rPr>
          <w:t>пункте 20</w:t>
        </w:r>
      </w:hyperlink>
      <w:r>
        <w:t xml:space="preserve"> настоящего документа, орган исполнительной власти утверждает правовой акт о выводе системы из эксплуатации.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22. Правовой акт о выводе системы из эксплуатации включает: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основание для вывода системы из эксплуатации;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перечень и сроки реализации мероприятий по выводу системы из эксплуатации;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порядок, сроки, режим хранения и дальнейшего использования информационных ресурсов, включая порядок обеспечения доступа к информационным ресурсам выводимой из эксплуатации системы и обеспечения защиты информации, содержащейся в выводимой из эксплуатации системе;</w:t>
      </w:r>
    </w:p>
    <w:p w:rsidR="001B611E" w:rsidRDefault="001B61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г) порядок, сроки и способы информирования пользователей о выводе системы из эксплуатации.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23. Перечень мероприятий по выводу системы из эксплуатации включает: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а) подготовку правовых актов, связанных с выводом системы из эксплуатации;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б) 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в) 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и (или) уничтожение машинных носителей информации.</w:t>
      </w:r>
    </w:p>
    <w:p w:rsidR="001B611E" w:rsidRDefault="001B611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24. Если нормативными правовыми актами Российской Федерации не установлено иное, то сроки хранения информации, содержащейся в базах данных системы, определяются органом исполнительной власти и не могут быть меньше сроков хранения информации, которые установлены для хранения документов в бумажном виде, содержащих такую информацию.</w:t>
      </w:r>
    </w:p>
    <w:p w:rsidR="001B611E" w:rsidRDefault="001B611E">
      <w:pPr>
        <w:pStyle w:val="ConsPlusNormal"/>
        <w:spacing w:before="200"/>
        <w:ind w:firstLine="540"/>
        <w:jc w:val="both"/>
      </w:pPr>
      <w:r>
        <w:t>25. Срок вывода системы из эксплуатации не может быть ранее срока окончания последнего мероприятия, предусмотренного правовым актом о выводе системы из эксплуатации.</w:t>
      </w: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jc w:val="both"/>
      </w:pPr>
    </w:p>
    <w:p w:rsidR="001B611E" w:rsidRDefault="001B6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1D3" w:rsidRDefault="003941D3"/>
    <w:sectPr w:rsidR="003941D3" w:rsidSect="005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E"/>
    <w:rsid w:val="001B611E"/>
    <w:rsid w:val="003941D3"/>
    <w:rsid w:val="007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6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B6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6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B6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A28B5EB19283771F33834826CE4B5A2E9F7C324FBDC8652386141CAE1136F2997E4A13BDDC0B93924ED86ECC79654C3EAD24F7EmAaBO" TargetMode="External"/><Relationship Id="rId13" Type="http://schemas.openxmlformats.org/officeDocument/2006/relationships/hyperlink" Target="consultantplus://offline/ref=1A1A28B5EB19283771F33834826CE4B5A3E9F2C224FDDC8652386141CAE1136F2997E4A13FD4CBEF686BECDAAA938556C0EAD04D61A0D951m7a1O" TargetMode="External"/><Relationship Id="rId18" Type="http://schemas.openxmlformats.org/officeDocument/2006/relationships/hyperlink" Target="consultantplus://offline/ref=1A1A28B5EB19283771F33834826CE4B5A3E9F2C224FDDC8652386141CAE1136F2997E4A13FD4CBEE686BECDAAA938556C0EAD04D61A0D951m7a1O" TargetMode="External"/><Relationship Id="rId26" Type="http://schemas.openxmlformats.org/officeDocument/2006/relationships/hyperlink" Target="consultantplus://offline/ref=1A1A28B5EB19283771F33834826CE4B5A3E9F2C224FDDC8652386141CAE1136F2997E4A13FD4CBE96A6BECDAAA938556C0EAD04D61A0D951m7a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1A28B5EB19283771F33834826CE4B5A3E9F2C224FDDC8652386141CAE1136F2997E4A13FD4CBEE6A6BECDAAA938556C0EAD04D61A0D951m7a1O" TargetMode="External"/><Relationship Id="rId7" Type="http://schemas.openxmlformats.org/officeDocument/2006/relationships/hyperlink" Target="consultantplus://offline/ref=1A1A28B5EB19283771F33834826CE4B5A3E9F2C224FDDC8652386141CAE1136F2997E4A13FD4CBED6D6BECDAAA938556C0EAD04D61A0D951m7a1O" TargetMode="External"/><Relationship Id="rId12" Type="http://schemas.openxmlformats.org/officeDocument/2006/relationships/hyperlink" Target="consultantplus://offline/ref=1A1A28B5EB19283771F33834826CE4B5A3E9F2C224FDDC8652386141CAE1136F2997E4A13FD4CBEC6C6BECDAAA938556C0EAD04D61A0D951m7a1O" TargetMode="External"/><Relationship Id="rId17" Type="http://schemas.openxmlformats.org/officeDocument/2006/relationships/hyperlink" Target="consultantplus://offline/ref=1A1A28B5EB19283771F33834826CE4B5A3E9F2C224FDDC8652386141CAE1136F2997E4A13FD4CBEF616BECDAAA938556C0EAD04D61A0D951m7a1O" TargetMode="External"/><Relationship Id="rId25" Type="http://schemas.openxmlformats.org/officeDocument/2006/relationships/hyperlink" Target="consultantplus://offline/ref=1A1A28B5EB19283771F33834826CE4B5A2E9F7C324FBDC8652386141CAE1136F2997E4A13FD4CAEE6C6BECDAAA938556C0EAD04D61A0D951m7a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1A28B5EB19283771F33834826CE4B5A3E9F2C224FDDC8652386141CAE1136F2997E4A13FD4CBEF606BECDAAA938556C0EAD04D61A0D951m7a1O" TargetMode="External"/><Relationship Id="rId20" Type="http://schemas.openxmlformats.org/officeDocument/2006/relationships/hyperlink" Target="consultantplus://offline/ref=1A1A28B5EB19283771F33834826CE4B5A2E8F5C32CFEDC8652386141CAE1136F2997E4A13FD4CBED6C6BECDAAA938556C0EAD04D61A0D951m7a1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A28B5EB19283771F33834826CE4B5A2E8F3CC2DFEDC8652386141CAE1136F2997E4A13FD4CAEA616BECDAAA938556C0EAD04D61A0D951m7a1O" TargetMode="External"/><Relationship Id="rId11" Type="http://schemas.openxmlformats.org/officeDocument/2006/relationships/hyperlink" Target="consultantplus://offline/ref=1A1A28B5EB19283771F33834826CE4B5A3E9F2C224FDDC8652386141CAE1136F2997E4A13FD4CBEC686BECDAAA938556C0EAD04D61A0D951m7a1O" TargetMode="External"/><Relationship Id="rId24" Type="http://schemas.openxmlformats.org/officeDocument/2006/relationships/hyperlink" Target="consultantplus://offline/ref=1A1A28B5EB19283771F33834826CE4B5A3E9F2C224FDDC8652386141CAE1136F2997E4A13FD4CBEE606BECDAAA938556C0EAD04D61A0D951m7a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1A28B5EB19283771F33834826CE4B5A3E9F2C224FDDC8652386141CAE1136F2997E4A13FD4CBEF6E6BECDAAA938556C0EAD04D61A0D951m7a1O" TargetMode="External"/><Relationship Id="rId23" Type="http://schemas.openxmlformats.org/officeDocument/2006/relationships/hyperlink" Target="consultantplus://offline/ref=1A1A28B5EB19283771F33834826CE4B5A2E8F3CC2CFEDC8652386141CAE1136F2997E4A13FD4CBEE6A6BECDAAA938556C0EAD04D61A0D951m7a1O" TargetMode="External"/><Relationship Id="rId28" Type="http://schemas.openxmlformats.org/officeDocument/2006/relationships/hyperlink" Target="consultantplus://offline/ref=1A1A28B5EB19283771F33834826CE4B5A3E9F2C224FDDC8652386141CAE1136F2997E4A13FD4CBE96D6BECDAAA938556C0EAD04D61A0D951m7a1O" TargetMode="External"/><Relationship Id="rId10" Type="http://schemas.openxmlformats.org/officeDocument/2006/relationships/hyperlink" Target="consultantplus://offline/ref=1A1A28B5EB19283771F33834826CE4B5A3E9F2C224FDDC8652386141CAE1136F2997E4A13FD4CBED6D6BECDAAA938556C0EAD04D61A0D951m7a1O" TargetMode="External"/><Relationship Id="rId19" Type="http://schemas.openxmlformats.org/officeDocument/2006/relationships/hyperlink" Target="consultantplus://offline/ref=1A1A28B5EB19283771F33834826CE4B5A3E9F2C224FDDC8652386141CAE1136F2997E4A13FD4CBEE696BECDAAA938556C0EAD04D61A0D951m7a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A28B5EB19283771F33834826CE4B5A2E8F3CC2DFEDC8652386141CAE1136F2997E4A13FD4CAEA616BECDAAA938556C0EAD04D61A0D951m7a1O" TargetMode="External"/><Relationship Id="rId14" Type="http://schemas.openxmlformats.org/officeDocument/2006/relationships/hyperlink" Target="consultantplus://offline/ref=1A1A28B5EB19283771F33834826CE4B5A3E9F2C224FDDC8652386141CAE1136F2997E4A13FD4CBEF6C6BECDAAA938556C0EAD04D61A0D951m7a1O" TargetMode="External"/><Relationship Id="rId22" Type="http://schemas.openxmlformats.org/officeDocument/2006/relationships/hyperlink" Target="consultantplus://offline/ref=1A1A28B5EB19283771F33834826CE4B5A2E8F3CC2CFEDC8652386141CAE1136F2997E4A13FD4CBEF6C6BECDAAA938556C0EAD04D61A0D951m7a1O" TargetMode="External"/><Relationship Id="rId27" Type="http://schemas.openxmlformats.org/officeDocument/2006/relationships/hyperlink" Target="consultantplus://offline/ref=1A1A28B5EB19283771F33834826CE4B5A3E9F2C224FDDC8652386141CAE1136F2997E4A13FD4CBE96C6BECDAAA938556C0EAD04D61A0D951m7a1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Марина Александровна Николаева</cp:lastModifiedBy>
  <cp:revision>2</cp:revision>
  <dcterms:created xsi:type="dcterms:W3CDTF">2019-02-21T14:26:00Z</dcterms:created>
  <dcterms:modified xsi:type="dcterms:W3CDTF">2022-12-27T08:41:00Z</dcterms:modified>
</cp:coreProperties>
</file>