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2A9C" w14:textId="29908CEC" w:rsidR="00886EA7" w:rsidRDefault="00886EA7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076CAEC8" w14:textId="6F79D7A4" w:rsidR="00742765" w:rsidRDefault="00742765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ОБЩЕГО И ПРОФЕССИОНАЛЬНОГО ОБРАЗОВАНИЯ </w:t>
      </w:r>
    </w:p>
    <w:p w14:paraId="271FC14A" w14:textId="7BC0CCFA" w:rsidR="007C2334" w:rsidRDefault="007C2334" w:rsidP="007C2334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14:paraId="59E69EEF" w14:textId="5456F5C7" w:rsidR="00A01F71" w:rsidRDefault="00A01F71" w:rsidP="00A01F71">
      <w:pPr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«_» _______ 2019 № __</w:t>
      </w:r>
    </w:p>
    <w:p w14:paraId="5E2A99E8" w14:textId="6FF327E5" w:rsidR="007C2334" w:rsidRPr="00F82953" w:rsidRDefault="00886EA7" w:rsidP="00F8295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334" w:rsidRPr="00F829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F82953" w:rsidRPr="00F82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</w:t>
      </w:r>
      <w:r w:rsidR="0020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82953" w:rsidRPr="00F82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определения нормативных затрат на оказание государственных услуг по реализации дополнительных общеобразовательных общеразвивающих программ</w:t>
      </w:r>
      <w:r w:rsidR="009873C5" w:rsidRPr="009873C5">
        <w:t xml:space="preserve"> </w:t>
      </w:r>
      <w:r w:rsidR="009873C5" w:rsidRPr="0098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proofErr w:type="gramStart"/>
      <w:r w:rsidR="009873C5" w:rsidRPr="0098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персонифицированного финансирования</w:t>
      </w:r>
      <w:r w:rsidR="0098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дополнительного образования детей Ленинградской области</w:t>
      </w:r>
      <w:proofErr w:type="gramEnd"/>
    </w:p>
    <w:p w14:paraId="5E85F3E1" w14:textId="77777777" w:rsidR="009873C5" w:rsidRDefault="009873C5" w:rsidP="00F82953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BC26C" w14:textId="136F6266" w:rsidR="00A01F71" w:rsidRPr="00346227" w:rsidRDefault="00A01F71" w:rsidP="00F82953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F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733258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№10,</w:t>
      </w:r>
      <w:r w:rsidRPr="00EC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</w:t>
      </w:r>
      <w:r w:rsidR="00733258">
        <w:rPr>
          <w:rFonts w:ascii="Times New Roman" w:hAnsi="Times New Roman" w:cs="Times New Roman"/>
          <w:color w:val="000000"/>
          <w:sz w:val="28"/>
          <w:szCs w:val="28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№11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распоряжения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Правительства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Ленинградской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</w:t>
      </w:r>
      <w:r w:rsidRPr="00524DC0">
        <w:rPr>
          <w:rFonts w:ascii="Times New Roman" w:hAnsi="Times New Roman"/>
          <w:spacing w:val="2"/>
          <w:sz w:val="28"/>
          <w:szCs w:val="31"/>
        </w:rPr>
        <w:t xml:space="preserve"> 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от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29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июля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201</w:t>
      </w:r>
      <w:r>
        <w:rPr>
          <w:rFonts w:ascii="Times New Roman" w:hAnsi="Times New Roman"/>
          <w:spacing w:val="2"/>
          <w:sz w:val="28"/>
          <w:szCs w:val="31"/>
          <w:shd w:val="clear" w:color="auto" w:fill="FFFFFF"/>
        </w:rPr>
        <w:t>9</w:t>
      </w:r>
      <w:r w:rsidRPr="00524DC0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года № 4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88-р</w:t>
      </w:r>
      <w:r w:rsidRPr="00346227">
        <w:rPr>
          <w:rFonts w:ascii="Times New Roman" w:hAnsi="Times New Roman"/>
          <w:spacing w:val="2"/>
          <w:sz w:val="28"/>
          <w:szCs w:val="31"/>
        </w:rPr>
        <w:t xml:space="preserve"> «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О персонифицированно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м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финансировани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и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дополнительного образования детей в </w:t>
      </w:r>
      <w:r w:rsidR="00886EA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Ленинградской</w:t>
      </w:r>
      <w:r w:rsidRPr="00346227">
        <w:rPr>
          <w:rFonts w:ascii="Times New Roman" w:hAnsi="Times New Roman"/>
          <w:spacing w:val="2"/>
          <w:sz w:val="28"/>
          <w:szCs w:val="31"/>
          <w:shd w:val="clear" w:color="auto" w:fill="FFFFFF"/>
        </w:rPr>
        <w:t xml:space="preserve"> области»</w:t>
      </w:r>
      <w:bookmarkStart w:id="1" w:name="_Hlk358266"/>
      <w:r w:rsidR="00F82953">
        <w:rPr>
          <w:rFonts w:ascii="Times New Roman" w:hAnsi="Times New Roman"/>
          <w:spacing w:val="2"/>
          <w:sz w:val="28"/>
          <w:szCs w:val="31"/>
          <w:shd w:val="clear" w:color="auto" w:fill="FFFFFF"/>
        </w:rPr>
        <w:t>:</w:t>
      </w:r>
    </w:p>
    <w:p w14:paraId="4A076F57" w14:textId="6B83AF05" w:rsidR="006426F8" w:rsidRPr="00073170" w:rsidRDefault="00A01F71" w:rsidP="00F8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27">
        <w:rPr>
          <w:rFonts w:ascii="Times New Roman" w:hAnsi="Times New Roman" w:cs="Times New Roman"/>
          <w:sz w:val="28"/>
          <w:szCs w:val="28"/>
        </w:rPr>
        <w:t>ПРИКАЗЫВАЮ</w:t>
      </w:r>
      <w:r w:rsidRPr="00346227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"/>
    </w:p>
    <w:p w14:paraId="3917840D" w14:textId="25E4D2F3" w:rsidR="006426F8" w:rsidRPr="00073170" w:rsidRDefault="006426F8" w:rsidP="009873C5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F82953" w:rsidRPr="00F82953">
        <w:rPr>
          <w:rFonts w:ascii="Times New Roman" w:hAnsi="Times New Roman" w:cs="Times New Roman"/>
          <w:spacing w:val="2"/>
          <w:sz w:val="28"/>
          <w:szCs w:val="28"/>
        </w:rPr>
        <w:t>Методик</w:t>
      </w:r>
      <w:r w:rsidR="00F8295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953" w:rsidRPr="00F82953">
        <w:rPr>
          <w:rFonts w:ascii="Times New Roman" w:hAnsi="Times New Roman" w:cs="Times New Roman"/>
          <w:spacing w:val="2"/>
          <w:sz w:val="28"/>
          <w:szCs w:val="28"/>
        </w:rPr>
        <w:t xml:space="preserve"> определения нормативных затрат на оказание государственных услуг по реализации дополнительных общеобразовательных общеразвивающих программ</w:t>
      </w:r>
      <w:r w:rsidR="00F829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73C5" w:rsidRPr="009873C5">
        <w:rPr>
          <w:rFonts w:ascii="Times New Roman" w:hAnsi="Times New Roman" w:cs="Times New Roman"/>
          <w:spacing w:val="2"/>
          <w:sz w:val="28"/>
          <w:szCs w:val="28"/>
        </w:rPr>
        <w:t xml:space="preserve">в рамках </w:t>
      </w:r>
      <w:proofErr w:type="gramStart"/>
      <w:r w:rsidR="009873C5" w:rsidRPr="009873C5">
        <w:rPr>
          <w:rFonts w:ascii="Times New Roman" w:hAnsi="Times New Roman" w:cs="Times New Roman"/>
          <w:spacing w:val="2"/>
          <w:sz w:val="28"/>
          <w:szCs w:val="28"/>
        </w:rPr>
        <w:t>системы персонифицированного финансирования дополнительного образования детей Ленинградской области</w:t>
      </w:r>
      <w:proofErr w:type="gramEnd"/>
      <w:r w:rsidR="009873C5" w:rsidRPr="009873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согласно приложению к настоящему </w:t>
      </w:r>
      <w:r w:rsidR="00A01F71">
        <w:rPr>
          <w:rFonts w:ascii="Times New Roman" w:hAnsi="Times New Roman" w:cs="Times New Roman"/>
          <w:spacing w:val="2"/>
          <w:sz w:val="28"/>
          <w:szCs w:val="28"/>
        </w:rPr>
        <w:t>Приказу</w:t>
      </w:r>
      <w:r w:rsidRPr="00073170">
        <w:rPr>
          <w:rFonts w:ascii="Times New Roman" w:hAnsi="Times New Roman" w:cs="Times New Roman"/>
          <w:sz w:val="28"/>
          <w:szCs w:val="28"/>
        </w:rPr>
        <w:t>.</w:t>
      </w:r>
    </w:p>
    <w:p w14:paraId="63DBA51F" w14:textId="26DF27CF" w:rsidR="00F82953" w:rsidRDefault="00F82953" w:rsidP="00F82953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Рекомендовать использовать данную методику органам исполнительной власти </w:t>
      </w:r>
      <w:r w:rsidR="006202BB">
        <w:rPr>
          <w:rFonts w:ascii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равительства Ленинградской области,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</w:t>
      </w:r>
      <w:r w:rsidRPr="000731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системе персонифицированного финансирования, а также при реализации обязательств перед частными образовательными организациями (индивидуальными предпринимателями), возникающими в рамках системы персонифицированного финансирования. </w:t>
      </w:r>
    </w:p>
    <w:p w14:paraId="27929E83" w14:textId="038E45E0" w:rsidR="00D07C91" w:rsidRPr="00F82953" w:rsidRDefault="006426F8" w:rsidP="00F82953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73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1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202BB">
        <w:rPr>
          <w:rFonts w:ascii="Times New Roman" w:hAnsi="Times New Roman" w:cs="Times New Roman"/>
          <w:sz w:val="28"/>
          <w:szCs w:val="28"/>
        </w:rPr>
        <w:t>п</w:t>
      </w:r>
      <w:r w:rsidR="00A01F71">
        <w:rPr>
          <w:rFonts w:ascii="Times New Roman" w:hAnsi="Times New Roman" w:cs="Times New Roman"/>
          <w:sz w:val="28"/>
          <w:szCs w:val="28"/>
        </w:rPr>
        <w:t>риказа</w:t>
      </w:r>
      <w:r w:rsidR="0007317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9873C5">
        <w:rPr>
          <w:rFonts w:ascii="Times New Roman" w:hAnsi="Times New Roman" w:cs="Times New Roman"/>
          <w:sz w:val="28"/>
          <w:szCs w:val="28"/>
        </w:rPr>
        <w:t xml:space="preserve"> начальника департамента развития общего образования Веревкину Т.А.</w:t>
      </w:r>
    </w:p>
    <w:p w14:paraId="63D4E5C2" w14:textId="77777777" w:rsidR="00F82953" w:rsidRDefault="00F82953" w:rsidP="00F829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A06FA87" w14:textId="77777777" w:rsidR="006202BB" w:rsidRDefault="006202BB" w:rsidP="00F829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5BFE3731" w14:textId="53EB448B" w:rsidR="00A01F71" w:rsidRPr="007C2334" w:rsidRDefault="0088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p w14:paraId="2D2C5D69" w14:textId="77777777" w:rsidR="005B5815" w:rsidRPr="005B5815" w:rsidRDefault="005B5815" w:rsidP="005B58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14:paraId="1A0856E5" w14:textId="77777777" w:rsidR="005B5815" w:rsidRPr="005B5815" w:rsidRDefault="005B5815" w:rsidP="005B58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комитета общего и </w:t>
      </w:r>
    </w:p>
    <w:p w14:paraId="4CFA492F" w14:textId="77777777" w:rsidR="005B5815" w:rsidRPr="005B5815" w:rsidRDefault="005B5815" w:rsidP="005B58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p w14:paraId="38D6808B" w14:textId="77777777" w:rsidR="005B5815" w:rsidRPr="005B5815" w:rsidRDefault="005B5815" w:rsidP="005B58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180E20A0" w14:textId="77777777" w:rsidR="005B5815" w:rsidRPr="005B5815" w:rsidRDefault="005B5815" w:rsidP="005B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_________ 2019 года  №  ___</w:t>
      </w:r>
    </w:p>
    <w:p w14:paraId="71066294" w14:textId="77777777" w:rsidR="005B5815" w:rsidRPr="005B5815" w:rsidRDefault="005B5815" w:rsidP="005B5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58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(приложение)</w:t>
      </w:r>
    </w:p>
    <w:p w14:paraId="1D00BA69" w14:textId="77777777" w:rsidR="005B5815" w:rsidRDefault="005B5815" w:rsidP="00447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118C2" w14:textId="4AD23F65" w:rsidR="00F82953" w:rsidRDefault="00F82953" w:rsidP="0044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нормативных затрат на оказание государственных услуг по реализации дополнительных общеобразовательных общеразвивающих программ</w:t>
      </w:r>
      <w:r w:rsidR="00987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proofErr w:type="gramStart"/>
      <w:r w:rsidR="00987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персонифицированного финансирования дополнительного образования детей Ленинградской области</w:t>
      </w:r>
      <w:proofErr w:type="gramEnd"/>
    </w:p>
    <w:p w14:paraId="280FBAA5" w14:textId="77777777" w:rsidR="00F82953" w:rsidRDefault="00F82953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8228E" w14:textId="77777777" w:rsidR="00F82953" w:rsidRDefault="00F82953" w:rsidP="0044708E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61D2A0E3" w14:textId="77777777" w:rsidR="00F82953" w:rsidRDefault="00F82953" w:rsidP="0044708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определения нормативных затрат на оказание государственных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14:paraId="687315AE" w14:textId="77777777" w:rsidR="00F82953" w:rsidRDefault="00F82953" w:rsidP="0044708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>
        <w:rPr>
          <w:rFonts w:ascii="Times New Roman" w:hAnsi="Times New Roman" w:cs="Times New Roman"/>
          <w:spacing w:val="-2"/>
          <w:sz w:val="28"/>
          <w:szCs w:val="28"/>
        </w:rPr>
        <w:t>применяется органами исполнительной власти Ленинградской области,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частными образовательными организациями (индивидуальными предпринимателя), возникающих в рамках системы персонифицированного финансирования.</w:t>
      </w:r>
    </w:p>
    <w:p w14:paraId="22139FA9" w14:textId="77777777" w:rsidR="00F82953" w:rsidRDefault="00F82953" w:rsidP="0044708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65E0DC00" w14:textId="77777777" w:rsidR="00F82953" w:rsidRDefault="00F82953" w:rsidP="0044708E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 на оказание государственных услуг по реализации дополнительных общеобразовательных общеразвивающих 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64E262" w14:textId="77777777" w:rsidR="00F82953" w:rsidRDefault="00F82953" w:rsidP="0044708E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образования.</w:t>
      </w:r>
    </w:p>
    <w:p w14:paraId="7F4DC980" w14:textId="77777777" w:rsidR="00F82953" w:rsidRDefault="00F82953" w:rsidP="0044708E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индивидуальные предприниматели, реализующие дополнительные общеразвивающие программы в рамках системы персонифицированного финансирования, вправе установить цену оказания государственной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6383619" w14:textId="77777777" w:rsidR="00F82953" w:rsidRDefault="00F82953" w:rsidP="0044708E">
      <w:pPr>
        <w:shd w:val="clear" w:color="auto" w:fill="FFFFFF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5804E00" w14:textId="77777777" w:rsidR="00F82953" w:rsidRDefault="00F82953" w:rsidP="0044708E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8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нормативных затрат на оказание государственных услуг по реализации дополнительных общеобразовательных общеразвивающих программ</w:t>
      </w:r>
    </w:p>
    <w:p w14:paraId="763D2592" w14:textId="77777777" w:rsidR="00F82953" w:rsidRDefault="00F82953" w:rsidP="0044708E">
      <w:pPr>
        <w:pStyle w:val="af"/>
        <w:ind w:firstLine="885"/>
        <w:rPr>
          <w:sz w:val="28"/>
          <w:szCs w:val="28"/>
        </w:rPr>
      </w:pPr>
    </w:p>
    <w:p w14:paraId="22D74E7F" w14:textId="77777777" w:rsidR="00F82953" w:rsidRDefault="00F82953" w:rsidP="0044708E">
      <w:pPr>
        <w:numPr>
          <w:ilvl w:val="0"/>
          <w:numId w:val="22"/>
        </w:numPr>
        <w:kinsoku w:val="0"/>
        <w:overflowPunct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государственных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proofErr w:type="gram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14:paraId="38EB2CBD" w14:textId="77777777" w:rsidR="00F82953" w:rsidRDefault="00F82953" w:rsidP="0044708E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Объем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14:paraId="312016E4" w14:textId="77777777" w:rsidR="00F82953" w:rsidRDefault="00F82953" w:rsidP="0044708E">
      <w:pPr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услуг по реализации дополнительных общеобразовательных общеразвивающих программ определяются по следующей формуле:</w:t>
      </w:r>
    </w:p>
    <w:p w14:paraId="371B0690" w14:textId="77777777" w:rsidR="00F82953" w:rsidRDefault="00733258" w:rsidP="0044708E">
      <w:pPr>
        <w:shd w:val="clear" w:color="auto" w:fill="FFFFFF"/>
        <w:tabs>
          <w:tab w:val="left" w:pos="8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F82953">
        <w:rPr>
          <w:rFonts w:ascii="Times New Roman" w:hAnsi="Times New Roman" w:cs="Times New Roman"/>
          <w:sz w:val="28"/>
          <w:szCs w:val="28"/>
        </w:rPr>
        <w:t>где</w:t>
      </w:r>
    </w:p>
    <w:p w14:paraId="22D7A512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82953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proofErr w:type="spellStart"/>
      <w:r w:rsidR="00F829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-ой государственной услуги по реализации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14:paraId="45E46673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</m:oMath>
      <w:r w:rsidR="00F82953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F82953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F829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-той государственной услуги по реализации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14:paraId="663B2B7B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F82953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proofErr w:type="gramStart"/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</w:p>
    <w:p w14:paraId="0700087F" w14:textId="77777777" w:rsidR="00F82953" w:rsidRDefault="00F82953" w:rsidP="0044708E">
      <w:pPr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государственной услуги по реализации дополнительных общеобразовательных общеразвивающих программ рассчитываются по следующей формуле: </w:t>
      </w:r>
    </w:p>
    <w:p w14:paraId="27529873" w14:textId="77777777" w:rsidR="00F82953" w:rsidRDefault="00733258" w:rsidP="0044708E">
      <w:pPr>
        <w:shd w:val="clear" w:color="auto" w:fill="FFFFFF"/>
        <w:tabs>
          <w:tab w:val="left" w:pos="8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F82953">
        <w:rPr>
          <w:rFonts w:ascii="Times New Roman" w:hAnsi="Times New Roman" w:cs="Times New Roman"/>
          <w:sz w:val="28"/>
          <w:szCs w:val="28"/>
        </w:rPr>
        <w:t>где</w:t>
      </w:r>
    </w:p>
    <w:p w14:paraId="26AF42FA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</m:oMath>
      <w:r w:rsidR="00F82953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F82953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F829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-той государственной услуги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14:paraId="2CA94A70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</m:oMath>
      <w:r w:rsidR="00F82953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</w:t>
      </w:r>
      <w:r w:rsidR="00F82953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государственной услуги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14:paraId="75996774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F82953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F82953">
        <w:rPr>
          <w:rFonts w:ascii="Times New Roman" w:hAnsi="Times New Roman" w:cs="Times New Roman"/>
          <w:sz w:val="28"/>
          <w:szCs w:val="28"/>
        </w:rPr>
        <w:t xml:space="preserve">– базовый норматив затрат на общехозяйственные нужды на оказание i-ой государственной услуги по реализации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общеразвивающих программ. </w:t>
      </w:r>
    </w:p>
    <w:p w14:paraId="1922B2E5" w14:textId="77777777" w:rsidR="00F82953" w:rsidRDefault="00F82953" w:rsidP="0044708E">
      <w:pPr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затрат, непосредственно связанных с оказанием i-ой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программ, рассчитывается по следующей формуле:</w:t>
      </w:r>
    </w:p>
    <w:p w14:paraId="6335C871" w14:textId="77777777" w:rsidR="00F82953" w:rsidRDefault="00733258" w:rsidP="0044708E">
      <w:pPr>
        <w:shd w:val="clear" w:color="auto" w:fill="FFFFFF"/>
        <w:tabs>
          <w:tab w:val="left" w:pos="8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F82953">
        <w:rPr>
          <w:rFonts w:ascii="Times New Roman" w:hAnsi="Times New Roman" w:cs="Times New Roman"/>
          <w:sz w:val="28"/>
          <w:szCs w:val="28"/>
        </w:rPr>
        <w:t>где</w:t>
      </w:r>
    </w:p>
    <w:p w14:paraId="21577B4F" w14:textId="77777777" w:rsidR="00F82953" w:rsidRDefault="00733258" w:rsidP="0044708E">
      <w:pPr>
        <w:pStyle w:val="a3"/>
        <w:widowControl w:val="0"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953">
        <w:rPr>
          <w:rFonts w:ascii="Times New Roman" w:hAnsi="Times New Roman" w:cs="Times New Roman"/>
          <w:sz w:val="28"/>
          <w:szCs w:val="28"/>
        </w:rPr>
        <w:t xml:space="preserve">– затраты на оплату труда педагогических работников, непосредственно связанных с оказанием i-ой государственной услуги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F82953">
        <w:rPr>
          <w:rFonts w:ascii="Times New Roman" w:hAnsi="Times New Roman" w:cs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14:paraId="34223A86" w14:textId="77777777" w:rsidR="00F82953" w:rsidRDefault="00F82953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202C02B2" w14:textId="77777777" w:rsidR="00F82953" w:rsidRDefault="00F82953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>
        <w:rPr>
          <w:rStyle w:val="21"/>
          <w:rFonts w:eastAsia="Courier New"/>
          <w:sz w:val="28"/>
          <w:szCs w:val="28"/>
        </w:rPr>
        <w:t xml:space="preserve"> </w:t>
      </w:r>
      <w:proofErr w:type="gramStart"/>
      <w:r>
        <w:rPr>
          <w:rStyle w:val="21"/>
          <w:rFonts w:eastAsia="Courier New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государственной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  <w:proofErr w:type="gramEnd"/>
    </w:p>
    <w:p w14:paraId="53701C3D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82953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 государственной власти субъекта Российской Федерации, местного самоуправления;</w:t>
      </w:r>
    </w:p>
    <w:p w14:paraId="0EF82522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F82953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 государственной власти субъекта Российской Федерации, местного самоуправления;</w:t>
      </w:r>
    </w:p>
    <w:p w14:paraId="60B53C14" w14:textId="77777777" w:rsidR="00F82953" w:rsidRDefault="00733258" w:rsidP="0044708E">
      <w:pPr>
        <w:pStyle w:val="a3"/>
        <w:widowControl w:val="0"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82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</w:t>
      </w:r>
      <w:r w:rsidR="00F82953">
        <w:rPr>
          <w:rFonts w:ascii="Times New Roman" w:hAnsi="Times New Roman" w:cs="Times New Roman"/>
          <w:sz w:val="28"/>
          <w:szCs w:val="28"/>
        </w:rPr>
        <w:t>на повышение квалификации и затраты на прохождение медицинских осмотров педагогическими работниками, непосредственно связанными с оказанием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i-ой государственной услуги по реализации дополнительных общеобразовательных общеразвивающих программ, которые определяются по формуле:</w:t>
      </w:r>
    </w:p>
    <w:p w14:paraId="23CEA3FC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82953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82953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4975B06C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42FDE9B7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3/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 ,где</m:t>
          </m:r>
        </m:oMath>
      </m:oMathPara>
    </w:p>
    <w:p w14:paraId="21FBDA17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днях;</w:t>
      </w:r>
    </w:p>
    <w:p w14:paraId="55EA5834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 государственной власти субъекта Российской Федерации, местного самоуправления;</w:t>
      </w:r>
    </w:p>
    <w:p w14:paraId="1A46B768" w14:textId="77777777" w:rsidR="00F82953" w:rsidRDefault="00F82953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государственных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задания на оказание государственных услуг (выполнения работ) государственным учреждением, утвержденных Приказом Министерства образования и науки Российской Федерации от 22.09.2015 г. № 1040 (далее – Общие требования);</w:t>
      </w:r>
      <w:proofErr w:type="gramEnd"/>
    </w:p>
    <w:p w14:paraId="25F6D591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F82953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F8295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096BEBC7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 ,где</m:t>
          </m:r>
        </m:oMath>
      </m:oMathPara>
    </w:p>
    <w:p w14:paraId="0C40EB71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F82953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 определяется публично-правовым образованием самостоятельно с учетом цен, сложившихся в регионе по данным территориального органа федеральной государственной статистики.</w:t>
      </w:r>
    </w:p>
    <w:p w14:paraId="3194FFBB" w14:textId="77777777" w:rsidR="00F82953" w:rsidRDefault="00733258" w:rsidP="0044708E">
      <w:pPr>
        <w:pStyle w:val="a3"/>
        <w:widowControl w:val="0"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</m:oMath>
      <w:r w:rsidR="00F82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государственной услуги по реализации дополнительных общеобразовательных общеразвивающих программ, которые определяются по формуле:</w:t>
      </w:r>
    </w:p>
    <w:p w14:paraId="3C236CD2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36127D7F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F82953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 в расчете на 1 обучающегося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F82953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 государственной власти субъекта Российской Федерации, местного самоуправления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65365E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годах;</w:t>
      </w:r>
    </w:p>
    <w:p w14:paraId="0BE3AE0F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 xml:space="preserve">средняя наполняемость группы при реализации части образовательной программы, определяется как среднее от </w:t>
      </w:r>
      <w:proofErr w:type="gramStart"/>
      <w:r w:rsidR="00F8295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F82953">
        <w:rPr>
          <w:rFonts w:ascii="Times New Roman" w:hAnsi="Times New Roman" w:cs="Times New Roman"/>
          <w:sz w:val="28"/>
          <w:szCs w:val="28"/>
        </w:rPr>
        <w:t xml:space="preserve"> минимальной и максимальной наполняемости группы;</w:t>
      </w:r>
    </w:p>
    <w:p w14:paraId="38993D4E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F82953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 государственной власти субъекта Российской Федерации, местного самоуправления;</w:t>
      </w:r>
    </w:p>
    <w:p w14:paraId="69D1BA97" w14:textId="77777777" w:rsidR="00F82953" w:rsidRDefault="00733258" w:rsidP="0044708E">
      <w:pPr>
        <w:pStyle w:val="a3"/>
        <w:widowControl w:val="0"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F82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государственной услуги по реализации дополнительных общеобразовательных общеразвивающих программ, которые определяются по формуле:</w:t>
      </w:r>
    </w:p>
    <w:p w14:paraId="2DF02A38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71906761" w14:textId="77777777" w:rsidR="00F82953" w:rsidRDefault="00733258" w:rsidP="0044708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z w:val="28"/>
          <w:szCs w:val="28"/>
        </w:rPr>
        <w:softHyphen/>
        <w:t>– стоимость одного экземпляра методических пособий, которая может быть определена публично-правовым образованием самостоятельно с учетом цен, сложившихся в регионе по данным территориального органа федеральной государственной статистики;</w:t>
      </w:r>
    </w:p>
    <w:p w14:paraId="4BDAE78D" w14:textId="77777777" w:rsidR="00F82953" w:rsidRDefault="00733258" w:rsidP="0044708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– количество методических пособий на 1 </w:t>
      </w:r>
      <w:proofErr w:type="gramStart"/>
      <w:r w:rsidR="00F829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82953">
        <w:rPr>
          <w:rFonts w:ascii="Times New Roman" w:hAnsi="Times New Roman" w:cs="Times New Roman"/>
          <w:sz w:val="28"/>
          <w:szCs w:val="28"/>
        </w:rPr>
        <w:t>;</w:t>
      </w:r>
    </w:p>
    <w:p w14:paraId="27F1FB0B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F82953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в годах.</w:t>
      </w:r>
    </w:p>
    <w:p w14:paraId="0938A147" w14:textId="77777777" w:rsidR="00F82953" w:rsidRDefault="00F82953" w:rsidP="0044708E">
      <w:pPr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государственной услуги по реализации дополнительных общеобразовательных общеразвивающих программ рассчитывается по следующей формуле:</w:t>
      </w:r>
    </w:p>
    <w:p w14:paraId="5C8FD0D2" w14:textId="77777777" w:rsidR="00F82953" w:rsidRDefault="00733258" w:rsidP="0044708E">
      <w:pPr>
        <w:shd w:val="clear" w:color="auto" w:fill="FFFFFF"/>
        <w:tabs>
          <w:tab w:val="left" w:pos="88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F82953">
        <w:rPr>
          <w:rFonts w:ascii="Times New Roman" w:hAnsi="Times New Roman" w:cs="Times New Roman"/>
          <w:sz w:val="28"/>
          <w:szCs w:val="28"/>
        </w:rPr>
        <w:t>где</w:t>
      </w:r>
    </w:p>
    <w:p w14:paraId="144AF2B1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r w:rsidR="00F82953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F8295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государственной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F82953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государственной услуги. Значение устанавливается уполномоченным органом государственной власти субъекта Российской Федерации, местного самоуправления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A4D2115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1BFADFA0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F82953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0261AB0F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F82953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F82953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платежи), рассчитываются на основе учета нормативной площади прилегающей территории (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>). СП 118.13330.2012, нормы обслуживания территории дворником при механизированной уборке (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829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829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</w:t>
      </w:r>
      <w:r w:rsidR="00F82953">
        <w:rPr>
          <w:rFonts w:ascii="Times New Roman" w:hAnsi="Times New Roman" w:cs="Times New Roman"/>
          <w:sz w:val="28"/>
          <w:szCs w:val="28"/>
        </w:rPr>
        <w:lastRenderedPageBreak/>
        <w:t>площади (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), Постановление Секретариата ВЦСПС от 21.04.1978 N 13-14, пункт 9 б, стоимости обслуживания и уборки помещений, рублей за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>. в месяц (данные ЕМИСС), стоимости вывоза мусора, в месяц, с человека, руб. (данные ЕМИСС);</w:t>
      </w:r>
    </w:p>
    <w:p w14:paraId="77EC1F2F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F82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F82953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F8295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82953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</w:t>
      </w:r>
      <w:proofErr w:type="gramEnd"/>
      <w:r w:rsidR="00F82953">
        <w:rPr>
          <w:rFonts w:ascii="Times New Roman" w:hAnsi="Times New Roman" w:cs="Times New Roman"/>
          <w:sz w:val="28"/>
          <w:szCs w:val="28"/>
        </w:rPr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38754BE2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F82953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F82953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F82953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06ECE69C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F82953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4957A96A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>среднее число учащихся в образовательной организации, оказывающей услуги по реализации дополнительных общеразвивающих программ;</w:t>
      </w:r>
    </w:p>
    <w:p w14:paraId="430B30EF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82953">
        <w:rPr>
          <w:rFonts w:ascii="Times New Roman" w:hAnsi="Times New Roman" w:cs="Times New Roman"/>
          <w:sz w:val="28"/>
          <w:szCs w:val="28"/>
        </w:rPr>
        <w:t>общий фонд учебного времени в год на организацию;</w:t>
      </w:r>
    </w:p>
    <w:p w14:paraId="1F610A1B" w14:textId="77777777" w:rsidR="00F82953" w:rsidRDefault="00F82953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D7A02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F82953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proofErr w:type="gramStart"/>
      <w:r w:rsidR="00F82953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F82953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</w:t>
      </w:r>
      <w:proofErr w:type="gramEnd"/>
      <w:r w:rsidR="00F82953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proofErr w:type="gramStart"/>
      <w:r w:rsidR="00F82953">
        <w:rPr>
          <w:rFonts w:ascii="Times New Roman" w:hAnsi="Times New Roman" w:cs="Times New Roman"/>
          <w:sz w:val="28"/>
          <w:szCs w:val="28"/>
        </w:rPr>
        <w:t>рассчитываемые</w:t>
      </w:r>
      <w:proofErr w:type="gramEnd"/>
      <w:r w:rsidR="00F8295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2DCE9484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82953" w:rsidRPr="00F8295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6924541B" w14:textId="77777777" w:rsidR="00F82953" w:rsidRDefault="00733258" w:rsidP="00447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F82953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работников. Данный коэффициент устанавливается </w:t>
      </w:r>
      <w:r w:rsidR="00F8295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государственной власти субъекта Российской Федерации, местного самоуправления.</w:t>
      </w:r>
    </w:p>
    <w:p w14:paraId="1AD2820D" w14:textId="77777777" w:rsidR="00073170" w:rsidRPr="00073170" w:rsidRDefault="00073170" w:rsidP="0007317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073170" w:rsidRPr="0007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A3"/>
    <w:multiLevelType w:val="hybridMultilevel"/>
    <w:tmpl w:val="753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E"/>
    <w:rsid w:val="000149BA"/>
    <w:rsid w:val="0006513D"/>
    <w:rsid w:val="00073170"/>
    <w:rsid w:val="001607C0"/>
    <w:rsid w:val="002029C6"/>
    <w:rsid w:val="002759C1"/>
    <w:rsid w:val="00311A4E"/>
    <w:rsid w:val="00332DA8"/>
    <w:rsid w:val="003C7969"/>
    <w:rsid w:val="003D39BD"/>
    <w:rsid w:val="00410C7D"/>
    <w:rsid w:val="004207A4"/>
    <w:rsid w:val="00423C24"/>
    <w:rsid w:val="00437668"/>
    <w:rsid w:val="0044708E"/>
    <w:rsid w:val="004A7E88"/>
    <w:rsid w:val="004D7580"/>
    <w:rsid w:val="00553222"/>
    <w:rsid w:val="00570BE4"/>
    <w:rsid w:val="005B5815"/>
    <w:rsid w:val="005F6B09"/>
    <w:rsid w:val="00600507"/>
    <w:rsid w:val="006202BB"/>
    <w:rsid w:val="00632D7C"/>
    <w:rsid w:val="006426F8"/>
    <w:rsid w:val="00666B29"/>
    <w:rsid w:val="006823B9"/>
    <w:rsid w:val="006F3E25"/>
    <w:rsid w:val="006F5F34"/>
    <w:rsid w:val="006F6F18"/>
    <w:rsid w:val="00733258"/>
    <w:rsid w:val="00742765"/>
    <w:rsid w:val="007C2334"/>
    <w:rsid w:val="007E0648"/>
    <w:rsid w:val="0083017B"/>
    <w:rsid w:val="00886EA7"/>
    <w:rsid w:val="008873D3"/>
    <w:rsid w:val="008C01B0"/>
    <w:rsid w:val="009873C5"/>
    <w:rsid w:val="009D54C8"/>
    <w:rsid w:val="009F384D"/>
    <w:rsid w:val="00A01A7A"/>
    <w:rsid w:val="00A01F71"/>
    <w:rsid w:val="00AD753A"/>
    <w:rsid w:val="00AD7648"/>
    <w:rsid w:val="00AF7A46"/>
    <w:rsid w:val="00B4320F"/>
    <w:rsid w:val="00B55687"/>
    <w:rsid w:val="00CD29C1"/>
    <w:rsid w:val="00CD3D9D"/>
    <w:rsid w:val="00D07C91"/>
    <w:rsid w:val="00D35388"/>
    <w:rsid w:val="00D53E4B"/>
    <w:rsid w:val="00D63F0B"/>
    <w:rsid w:val="00E16FD8"/>
    <w:rsid w:val="00E523B4"/>
    <w:rsid w:val="00EE68F5"/>
    <w:rsid w:val="00F14D83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  <w:style w:type="character" w:customStyle="1" w:styleId="ae">
    <w:name w:val="Текст абзаца Знак"/>
    <w:link w:val="af"/>
    <w:locked/>
    <w:rsid w:val="00F8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абзаца"/>
    <w:basedOn w:val="a"/>
    <w:link w:val="ae"/>
    <w:qFormat/>
    <w:rsid w:val="00F82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8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4"/>
  </w:style>
  <w:style w:type="paragraph" w:styleId="1">
    <w:name w:val="heading 1"/>
    <w:basedOn w:val="a"/>
    <w:next w:val="a"/>
    <w:link w:val="10"/>
    <w:uiPriority w:val="9"/>
    <w:qFormat/>
    <w:rsid w:val="00E523B4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3B4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4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3B4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3B4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3B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3B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3B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3B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2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2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2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2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52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2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qFormat/>
    <w:rsid w:val="00E523B4"/>
    <w:pPr>
      <w:ind w:left="720"/>
      <w:contextualSpacing/>
    </w:pPr>
  </w:style>
  <w:style w:type="table" w:styleId="a5">
    <w:name w:val="Table Grid"/>
    <w:basedOn w:val="a1"/>
    <w:uiPriority w:val="39"/>
    <w:rsid w:val="005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7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rsid w:val="006426F8"/>
  </w:style>
  <w:style w:type="character" w:styleId="a8">
    <w:name w:val="annotation reference"/>
    <w:basedOn w:val="a0"/>
    <w:uiPriority w:val="99"/>
    <w:semiHidden/>
    <w:unhideWhenUsed/>
    <w:rsid w:val="006823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3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3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3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3B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E0648"/>
    <w:pPr>
      <w:spacing w:after="0" w:line="240" w:lineRule="auto"/>
    </w:pPr>
  </w:style>
  <w:style w:type="character" w:customStyle="1" w:styleId="ae">
    <w:name w:val="Текст абзаца Знак"/>
    <w:link w:val="af"/>
    <w:locked/>
    <w:rsid w:val="00F8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абзаца"/>
    <w:basedOn w:val="a"/>
    <w:link w:val="ae"/>
    <w:qFormat/>
    <w:rsid w:val="00F829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8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DE88-775B-4B4E-A908-0701294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Ивановна Орлова</cp:lastModifiedBy>
  <cp:revision>7</cp:revision>
  <cp:lastPrinted>2019-10-17T13:48:00Z</cp:lastPrinted>
  <dcterms:created xsi:type="dcterms:W3CDTF">2019-10-14T06:37:00Z</dcterms:created>
  <dcterms:modified xsi:type="dcterms:W3CDTF">2019-10-22T14:09:00Z</dcterms:modified>
</cp:coreProperties>
</file>