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№ 1263 от 27 ноября 2014 г.</w:t>
      </w:r>
    </w:p>
    <w:p>
      <w:pPr>
        <w:pStyle w:val="Heading2"/>
        <w:rPr/>
      </w:pPr>
      <w:r>
        <w:rPr/>
        <w:t>«О признании утратившим силу постановления Правительства Российской Федерации от 30 марта 2013 г. № 286»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Признать утратившим силу постановление Правительства Российской Федерации от 30 марта 2013 г. № 286 "О формировании независимой системы оценки качества работы организаций, оказывающих социальные услуги" (Собрание законодательства Российской Федерации, 2013, № 14, ст. 1703).</w:t>
      </w:r>
    </w:p>
    <w:p>
      <w:pPr>
        <w:pStyle w:val="TextBody"/>
        <w:rPr/>
      </w:pPr>
      <w:r>
        <w:rPr>
          <w:rStyle w:val="StrongEmphasis"/>
        </w:rPr>
        <w:t xml:space="preserve">Председатель Правительства </w:t>
      </w:r>
    </w:p>
    <w:p>
      <w:pPr>
        <w:pStyle w:val="TextBody"/>
        <w:rPr/>
      </w:pPr>
      <w:r>
        <w:rPr>
          <w:rStyle w:val="StrongEmphasis"/>
        </w:rPr>
        <w:t xml:space="preserve">Российской 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