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38" w:rsidRPr="00B24238" w:rsidRDefault="00B24238" w:rsidP="00B2423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238">
        <w:rPr>
          <w:rFonts w:ascii="Times New Roman" w:hAnsi="Times New Roman" w:cs="Times New Roman"/>
          <w:sz w:val="28"/>
          <w:szCs w:val="28"/>
        </w:rPr>
        <w:t>Во исполнение Указа Президента Российской Федерации от 21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B24238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24238">
        <w:rPr>
          <w:rFonts w:ascii="Times New Roman" w:hAnsi="Times New Roman" w:cs="Times New Roman"/>
          <w:sz w:val="28"/>
          <w:szCs w:val="28"/>
        </w:rPr>
        <w:t>№ 618 «Об основных направлениях государственной политики по развитию конкуренции», постановления Правительства Российской Федерации от 18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B24238">
        <w:rPr>
          <w:rFonts w:ascii="Times New Roman" w:hAnsi="Times New Roman" w:cs="Times New Roman"/>
          <w:sz w:val="28"/>
          <w:szCs w:val="28"/>
        </w:rPr>
        <w:t xml:space="preserve">2018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24238">
        <w:rPr>
          <w:rFonts w:ascii="Times New Roman" w:hAnsi="Times New Roman" w:cs="Times New Roman"/>
          <w:sz w:val="28"/>
          <w:szCs w:val="28"/>
        </w:rPr>
        <w:t>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законодательства», постановления Правительства Ленинградской области от 28</w:t>
      </w:r>
      <w:r>
        <w:rPr>
          <w:rFonts w:ascii="Times New Roman" w:hAnsi="Times New Roman" w:cs="Times New Roman"/>
          <w:sz w:val="28"/>
          <w:szCs w:val="28"/>
        </w:rPr>
        <w:t xml:space="preserve"> февраля </w:t>
      </w:r>
      <w:r w:rsidRPr="00B24238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B24238">
        <w:rPr>
          <w:rFonts w:ascii="Times New Roman" w:hAnsi="Times New Roman" w:cs="Times New Roman"/>
          <w:sz w:val="28"/>
          <w:szCs w:val="28"/>
        </w:rPr>
        <w:t xml:space="preserve"> № 84</w:t>
      </w:r>
      <w:r>
        <w:rPr>
          <w:rFonts w:ascii="Times New Roman" w:hAnsi="Times New Roman" w:cs="Times New Roman"/>
          <w:sz w:val="28"/>
          <w:szCs w:val="28"/>
        </w:rPr>
        <w:t xml:space="preserve"> «О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создании и организации системы внутреннего обеспечения соответствия требованиям антимонопольного законодательства органов исполнительной власти Ленинградкой области»</w:t>
      </w:r>
      <w:r w:rsidRPr="00B24238">
        <w:rPr>
          <w:rFonts w:ascii="Times New Roman" w:hAnsi="Times New Roman" w:cs="Times New Roman"/>
          <w:sz w:val="28"/>
          <w:szCs w:val="28"/>
        </w:rPr>
        <w:t xml:space="preserve">, в комитете </w:t>
      </w:r>
      <w:r>
        <w:rPr>
          <w:rFonts w:ascii="Times New Roman" w:hAnsi="Times New Roman" w:cs="Times New Roman"/>
          <w:sz w:val="28"/>
          <w:szCs w:val="28"/>
        </w:rPr>
        <w:t xml:space="preserve">общего и профессионального образования Ленинградской области (далее - комитет) </w:t>
      </w:r>
      <w:r w:rsidRPr="00B24238">
        <w:rPr>
          <w:rFonts w:ascii="Times New Roman" w:hAnsi="Times New Roman" w:cs="Times New Roman"/>
          <w:sz w:val="28"/>
          <w:szCs w:val="28"/>
        </w:rPr>
        <w:t>создана система внутреннего обеспечения соответствия требования антимонопольного законодательства (далее - антимонопольный комплаенс).</w:t>
      </w:r>
      <w:proofErr w:type="gramEnd"/>
    </w:p>
    <w:p w:rsidR="00B24238" w:rsidRPr="00B24238" w:rsidRDefault="00B24238" w:rsidP="00B2423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238">
        <w:rPr>
          <w:rFonts w:ascii="Times New Roman" w:hAnsi="Times New Roman" w:cs="Times New Roman"/>
          <w:sz w:val="28"/>
          <w:szCs w:val="28"/>
        </w:rPr>
        <w:t>Данная система предусматривает профилактику нарушений требований антимонопольного законодательства со стороны комитета.</w:t>
      </w:r>
    </w:p>
    <w:p w:rsidR="00B24238" w:rsidRPr="00B24238" w:rsidRDefault="00B24238" w:rsidP="00B2423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238">
        <w:rPr>
          <w:rFonts w:ascii="Times New Roman" w:hAnsi="Times New Roman" w:cs="Times New Roman"/>
          <w:sz w:val="28"/>
          <w:szCs w:val="28"/>
        </w:rPr>
        <w:t>В частности, распоряжением комитета определено:</w:t>
      </w:r>
    </w:p>
    <w:p w:rsidR="00B24238" w:rsidRPr="00B24238" w:rsidRDefault="00B24238" w:rsidP="00B2423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238">
        <w:rPr>
          <w:rFonts w:ascii="Times New Roman" w:hAnsi="Times New Roman" w:cs="Times New Roman"/>
          <w:sz w:val="28"/>
          <w:szCs w:val="28"/>
        </w:rPr>
        <w:t>уполномоченное подразделение комитета, ответственное за функционирование антимонопольного комплаенса в комитете, его функции (юридический сектор комитета);</w:t>
      </w:r>
    </w:p>
    <w:p w:rsidR="00B24238" w:rsidRPr="00B24238" w:rsidRDefault="00B24238" w:rsidP="00B2423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238">
        <w:rPr>
          <w:rFonts w:ascii="Times New Roman" w:hAnsi="Times New Roman" w:cs="Times New Roman"/>
          <w:sz w:val="28"/>
          <w:szCs w:val="28"/>
        </w:rPr>
        <w:t>порядок выявления и оценки рисков нарушения антимонопольного законодательства при осуществлении комитетом своей деятельности;</w:t>
      </w:r>
    </w:p>
    <w:p w:rsidR="00B24238" w:rsidRPr="00B24238" w:rsidRDefault="00B24238" w:rsidP="00B2423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238">
        <w:rPr>
          <w:rFonts w:ascii="Times New Roman" w:hAnsi="Times New Roman" w:cs="Times New Roman"/>
          <w:sz w:val="28"/>
          <w:szCs w:val="28"/>
        </w:rPr>
        <w:t>порядок ознакомления служащих комитета с распоряжением комитета;</w:t>
      </w:r>
    </w:p>
    <w:p w:rsidR="00B24238" w:rsidRPr="00B24238" w:rsidRDefault="00B24238" w:rsidP="00B2423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238">
        <w:rPr>
          <w:rFonts w:ascii="Times New Roman" w:hAnsi="Times New Roman" w:cs="Times New Roman"/>
          <w:sz w:val="28"/>
          <w:szCs w:val="28"/>
        </w:rPr>
        <w:t xml:space="preserve">меры, направленные на осуществление комитетом </w:t>
      </w:r>
      <w:proofErr w:type="gramStart"/>
      <w:r w:rsidRPr="00B2423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24238">
        <w:rPr>
          <w:rFonts w:ascii="Times New Roman" w:hAnsi="Times New Roman" w:cs="Times New Roman"/>
          <w:sz w:val="28"/>
          <w:szCs w:val="28"/>
        </w:rPr>
        <w:t xml:space="preserve"> функционированием антимонопольного комплаенса;</w:t>
      </w:r>
    </w:p>
    <w:p w:rsidR="00B24238" w:rsidRPr="00B24238" w:rsidRDefault="00B24238" w:rsidP="00B2423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238">
        <w:rPr>
          <w:rFonts w:ascii="Times New Roman" w:hAnsi="Times New Roman" w:cs="Times New Roman"/>
          <w:sz w:val="28"/>
          <w:szCs w:val="28"/>
        </w:rPr>
        <w:t>ключевые показатели и порядок оценки функционирования антимонопольного комплаенса в комитете.</w:t>
      </w:r>
    </w:p>
    <w:p w:rsidR="00B24238" w:rsidRPr="00B24238" w:rsidRDefault="00B24238" w:rsidP="00B2423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238">
        <w:rPr>
          <w:rFonts w:ascii="Times New Roman" w:hAnsi="Times New Roman" w:cs="Times New Roman"/>
          <w:sz w:val="28"/>
          <w:szCs w:val="28"/>
        </w:rPr>
        <w:t>В целях выявления и оценки рисков нарушения антимонопольного законодательства при осуществлении комитетом своей деятельности были осуществлены мероприятия, предусмотренные пунктом 3.1 распоряжения комитета, а именно:</w:t>
      </w:r>
    </w:p>
    <w:p w:rsidR="00B24238" w:rsidRPr="00B24238" w:rsidRDefault="00B24238" w:rsidP="00B2423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238">
        <w:rPr>
          <w:rFonts w:ascii="Times New Roman" w:hAnsi="Times New Roman" w:cs="Times New Roman"/>
          <w:sz w:val="28"/>
          <w:szCs w:val="28"/>
        </w:rPr>
        <w:t>анализ выявленных нарушений антимонопольного законодательства в деятельности комитета за последние три года;</w:t>
      </w:r>
    </w:p>
    <w:p w:rsidR="00B24238" w:rsidRPr="00B24238" w:rsidRDefault="00B24238" w:rsidP="00B2423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238">
        <w:rPr>
          <w:rFonts w:ascii="Times New Roman" w:hAnsi="Times New Roman" w:cs="Times New Roman"/>
          <w:sz w:val="28"/>
          <w:szCs w:val="28"/>
        </w:rPr>
        <w:t>анализ нормативных правовых актов комитета;</w:t>
      </w:r>
    </w:p>
    <w:p w:rsidR="00B24238" w:rsidRPr="00B24238" w:rsidRDefault="00B24238" w:rsidP="00B2423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238">
        <w:rPr>
          <w:rFonts w:ascii="Times New Roman" w:hAnsi="Times New Roman" w:cs="Times New Roman"/>
          <w:sz w:val="28"/>
          <w:szCs w:val="28"/>
        </w:rPr>
        <w:t>анализ проектов нормативных правовых актов, разрабатываемых комитетом;</w:t>
      </w:r>
    </w:p>
    <w:p w:rsidR="00B24238" w:rsidRPr="00B24238" w:rsidRDefault="00B24238" w:rsidP="00B2423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238">
        <w:rPr>
          <w:rFonts w:ascii="Times New Roman" w:hAnsi="Times New Roman" w:cs="Times New Roman"/>
          <w:sz w:val="28"/>
          <w:szCs w:val="28"/>
        </w:rPr>
        <w:t>мониторинг и анализ практики применения комитетом антимонопольного законодательства.</w:t>
      </w:r>
    </w:p>
    <w:p w:rsidR="00B24238" w:rsidRPr="00B24238" w:rsidRDefault="00B24238" w:rsidP="00B2423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238">
        <w:rPr>
          <w:rFonts w:ascii="Times New Roman" w:hAnsi="Times New Roman" w:cs="Times New Roman"/>
          <w:sz w:val="28"/>
          <w:szCs w:val="28"/>
        </w:rPr>
        <w:lastRenderedPageBreak/>
        <w:t>По итогам проведенной работы по анализу деятельности комитета в период 2017-2019 годов нарушения антимонопольного законодательства не выявлены.</w:t>
      </w:r>
    </w:p>
    <w:p w:rsidR="00B24238" w:rsidRPr="00B24238" w:rsidRDefault="00B24238" w:rsidP="00B2423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238">
        <w:rPr>
          <w:rFonts w:ascii="Times New Roman" w:hAnsi="Times New Roman" w:cs="Times New Roman"/>
          <w:sz w:val="28"/>
          <w:szCs w:val="28"/>
        </w:rPr>
        <w:t>По итогам проведенного за 2019 год анализа нормативных правовых актов комитета и проектов нормативных правовых актов комитета, в которых возможны риски нарушения антимонопольного законодательства, нарушений не выявлено, заключения по результатам независимой антикоррупционной экспертизы проектов нормативных правовых актов комитета, а также предписания Федеральной антимонопольной службы и ее территориальных органов в комитет не поступали.</w:t>
      </w:r>
      <w:proofErr w:type="gramEnd"/>
    </w:p>
    <w:p w:rsidR="00B24238" w:rsidRPr="00B24238" w:rsidRDefault="00B24238" w:rsidP="00B2423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238">
        <w:rPr>
          <w:rFonts w:ascii="Times New Roman" w:hAnsi="Times New Roman" w:cs="Times New Roman"/>
          <w:sz w:val="28"/>
          <w:szCs w:val="28"/>
        </w:rPr>
        <w:t>Соответственно, основания для проведения мероприятий по снижению комплаенс-рисков в комитете отсутствуют, в связи с отсутствием нарушений антимонопольного законодательства.</w:t>
      </w:r>
    </w:p>
    <w:p w:rsidR="00B24238" w:rsidRPr="00B24238" w:rsidRDefault="00B24238" w:rsidP="00B2423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238">
        <w:rPr>
          <w:rFonts w:ascii="Times New Roman" w:hAnsi="Times New Roman" w:cs="Times New Roman"/>
          <w:sz w:val="28"/>
          <w:szCs w:val="28"/>
        </w:rPr>
        <w:t>При этом согласно рекомендациям Федеральной антимонопольной службы в случае, если в отчетном периоде отсутствовали нарушения антимонопольного законодательства, либо отсутствовали нормативные правовые акты, в которых выявлены риски нарушения антимонопольного законодательства, функционирование антимонопольного комплаенса считается положительным.</w:t>
      </w:r>
    </w:p>
    <w:p w:rsidR="00B24238" w:rsidRPr="00B24238" w:rsidRDefault="00B24238" w:rsidP="00B2423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238">
        <w:rPr>
          <w:rFonts w:ascii="Times New Roman" w:hAnsi="Times New Roman" w:cs="Times New Roman"/>
          <w:sz w:val="28"/>
          <w:szCs w:val="28"/>
        </w:rPr>
        <w:t>С учетом изложенного оценка значений ключевых показателей свидетельствует об эффективном функционировании в комитете в 2019 году антимонопольного комплаенса.</w:t>
      </w:r>
    </w:p>
    <w:p w:rsidR="00B24238" w:rsidRPr="00B24238" w:rsidRDefault="00B24238" w:rsidP="00B2423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238">
        <w:rPr>
          <w:rFonts w:ascii="Times New Roman" w:hAnsi="Times New Roman" w:cs="Times New Roman"/>
          <w:sz w:val="28"/>
          <w:szCs w:val="28"/>
        </w:rPr>
        <w:t xml:space="preserve">Кроме того, в конце декабря 2019 года один сотрудник комитета (специалист юридического сектора) прошел </w:t>
      </w:r>
      <w:proofErr w:type="gramStart"/>
      <w:r w:rsidRPr="00B24238">
        <w:rPr>
          <w:rFonts w:ascii="Times New Roman" w:hAnsi="Times New Roman" w:cs="Times New Roman"/>
          <w:sz w:val="28"/>
          <w:szCs w:val="28"/>
        </w:rPr>
        <w:t>обучение по программе</w:t>
      </w:r>
      <w:proofErr w:type="gramEnd"/>
      <w:r w:rsidRPr="00B24238">
        <w:rPr>
          <w:rFonts w:ascii="Times New Roman" w:hAnsi="Times New Roman" w:cs="Times New Roman"/>
          <w:sz w:val="28"/>
          <w:szCs w:val="28"/>
        </w:rPr>
        <w:t>: «</w:t>
      </w:r>
      <w:proofErr w:type="gramStart"/>
      <w:r w:rsidRPr="00B24238">
        <w:rPr>
          <w:rFonts w:ascii="Times New Roman" w:hAnsi="Times New Roman" w:cs="Times New Roman"/>
          <w:sz w:val="28"/>
          <w:szCs w:val="28"/>
        </w:rPr>
        <w:t>Антимонопольный</w:t>
      </w:r>
      <w:proofErr w:type="gramEnd"/>
      <w:r w:rsidRPr="00B24238">
        <w:rPr>
          <w:rFonts w:ascii="Times New Roman" w:hAnsi="Times New Roman" w:cs="Times New Roman"/>
          <w:sz w:val="28"/>
          <w:szCs w:val="28"/>
        </w:rPr>
        <w:t xml:space="preserve"> комплаенс в органах государственной власти» (24 часа) в ФГБОУ «Российская академия народного хозяйства и государственной службы при Президенте Российской Федерации».</w:t>
      </w:r>
    </w:p>
    <w:p w:rsidR="00B24238" w:rsidRPr="00B24238" w:rsidRDefault="00B24238" w:rsidP="00B2423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238">
        <w:rPr>
          <w:rFonts w:ascii="Times New Roman" w:hAnsi="Times New Roman" w:cs="Times New Roman"/>
          <w:sz w:val="28"/>
          <w:szCs w:val="28"/>
        </w:rPr>
        <w:t xml:space="preserve">В части усиления внутреннего </w:t>
      </w:r>
      <w:proofErr w:type="gramStart"/>
      <w:r w:rsidRPr="00B2423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24238">
        <w:rPr>
          <w:rFonts w:ascii="Times New Roman" w:hAnsi="Times New Roman" w:cs="Times New Roman"/>
          <w:sz w:val="28"/>
          <w:szCs w:val="28"/>
        </w:rPr>
        <w:t xml:space="preserve"> соблюдением порядка подготовки ответов на обращения граждан и юридических лиц, в комитете принято распоряжение от 30</w:t>
      </w:r>
      <w:r>
        <w:rPr>
          <w:rFonts w:ascii="Times New Roman" w:hAnsi="Times New Roman" w:cs="Times New Roman"/>
          <w:sz w:val="28"/>
          <w:szCs w:val="28"/>
        </w:rPr>
        <w:t xml:space="preserve"> января </w:t>
      </w:r>
      <w:r w:rsidRPr="00B24238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B24238">
        <w:rPr>
          <w:rFonts w:ascii="Times New Roman" w:hAnsi="Times New Roman" w:cs="Times New Roman"/>
          <w:sz w:val="28"/>
          <w:szCs w:val="28"/>
        </w:rPr>
        <w:t>№ 206-р «Об организации работы с обращениями граждан».</w:t>
      </w:r>
    </w:p>
    <w:p w:rsidR="00B24238" w:rsidRPr="00B24238" w:rsidRDefault="00B24238" w:rsidP="00B2423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238">
        <w:rPr>
          <w:rFonts w:ascii="Times New Roman" w:hAnsi="Times New Roman" w:cs="Times New Roman"/>
          <w:sz w:val="28"/>
          <w:szCs w:val="28"/>
        </w:rPr>
        <w:t>В целях усиления внутреннего контроля председателем комитета за соблюдением государственными гражданскими служащими комитета антимонопольного законодательства при заключении соглашений по вопросам, относящимся к полномочиям комитета, комитетом подготовлен проект приказа «О внесении изменений в приказ комитета общего и профессионального образова</w:t>
      </w:r>
      <w:r>
        <w:rPr>
          <w:rFonts w:ascii="Times New Roman" w:hAnsi="Times New Roman" w:cs="Times New Roman"/>
          <w:sz w:val="28"/>
          <w:szCs w:val="28"/>
        </w:rPr>
        <w:t xml:space="preserve">ния Ленинградской области от 13 ноября </w:t>
      </w:r>
      <w:r w:rsidRPr="00B24238">
        <w:rPr>
          <w:rFonts w:ascii="Times New Roman" w:hAnsi="Times New Roman" w:cs="Times New Roman"/>
          <w:sz w:val="28"/>
          <w:szCs w:val="28"/>
        </w:rPr>
        <w:t xml:space="preserve">2017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bookmarkStart w:id="0" w:name="_GoBack"/>
      <w:bookmarkEnd w:id="0"/>
      <w:r w:rsidRPr="00B24238">
        <w:rPr>
          <w:rFonts w:ascii="Times New Roman" w:hAnsi="Times New Roman" w:cs="Times New Roman"/>
          <w:sz w:val="28"/>
          <w:szCs w:val="28"/>
        </w:rPr>
        <w:t>№ 51 «О кадровом совете при председателе комитета общего и профессионального образования Ленинградской области…», согласно которому</w:t>
      </w:r>
      <w:proofErr w:type="gramEnd"/>
      <w:r w:rsidRPr="00B24238">
        <w:rPr>
          <w:rFonts w:ascii="Times New Roman" w:hAnsi="Times New Roman" w:cs="Times New Roman"/>
          <w:sz w:val="28"/>
          <w:szCs w:val="28"/>
        </w:rPr>
        <w:t xml:space="preserve"> при наличии соответствующих нарушений размер стимулирующих выплат снижается либо государственный гражданский служащий не представляются к ежемесячному денежному поощрению.</w:t>
      </w:r>
    </w:p>
    <w:p w:rsidR="003A188D" w:rsidRPr="00B24238" w:rsidRDefault="003A188D" w:rsidP="00B24238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A188D" w:rsidRPr="00B24238" w:rsidSect="00B2423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238"/>
    <w:rsid w:val="003A188D"/>
    <w:rsid w:val="00B2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37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Владимировна Кокоулина</dc:creator>
  <cp:lastModifiedBy>Оксана Владимировна Кокоулина</cp:lastModifiedBy>
  <cp:revision>1</cp:revision>
  <dcterms:created xsi:type="dcterms:W3CDTF">2021-05-11T07:05:00Z</dcterms:created>
  <dcterms:modified xsi:type="dcterms:W3CDTF">2021-05-11T07:10:00Z</dcterms:modified>
</cp:coreProperties>
</file>