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5A9" w:rsidRPr="00280116" w:rsidRDefault="000C23BD" w:rsidP="007B32A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80116">
        <w:rPr>
          <w:rFonts w:ascii="Times New Roman" w:eastAsia="Times New Roman" w:hAnsi="Times New Roman" w:cs="Times New Roman"/>
          <w:b/>
          <w:sz w:val="26"/>
          <w:szCs w:val="26"/>
        </w:rPr>
        <w:t xml:space="preserve">Информация об основных положениях учетной политики </w:t>
      </w:r>
    </w:p>
    <w:p w:rsidR="000C23BD" w:rsidRPr="00280116" w:rsidRDefault="000C23BD" w:rsidP="007B32A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80116">
        <w:rPr>
          <w:rFonts w:ascii="Times New Roman" w:eastAsia="Times New Roman" w:hAnsi="Times New Roman" w:cs="Times New Roman"/>
          <w:b/>
          <w:sz w:val="26"/>
          <w:szCs w:val="26"/>
        </w:rPr>
        <w:t>комитета общего и профессионального образования Ленинградской области</w:t>
      </w:r>
    </w:p>
    <w:p w:rsidR="00A542B7" w:rsidRDefault="00A542B7" w:rsidP="00A542B7">
      <w:pPr>
        <w:pStyle w:val="1"/>
        <w:tabs>
          <w:tab w:val="left" w:pos="1134"/>
          <w:tab w:val="left" w:pos="1560"/>
          <w:tab w:val="left" w:pos="2061"/>
        </w:tabs>
        <w:spacing w:after="80"/>
        <w:ind w:firstLine="0"/>
        <w:jc w:val="center"/>
      </w:pPr>
    </w:p>
    <w:p w:rsidR="00D04736" w:rsidRDefault="000C23BD" w:rsidP="007B32A0">
      <w:pPr>
        <w:pStyle w:val="1"/>
        <w:tabs>
          <w:tab w:val="left" w:pos="1134"/>
          <w:tab w:val="left" w:pos="1560"/>
          <w:tab w:val="left" w:pos="2061"/>
        </w:tabs>
        <w:spacing w:after="80"/>
        <w:ind w:firstLine="709"/>
        <w:jc w:val="both"/>
      </w:pPr>
      <w:r>
        <w:t xml:space="preserve">Положение </w:t>
      </w:r>
      <w:r w:rsidRPr="000C23BD">
        <w:t>об учетной политике комитета общего и профессионального образования Ленинградской области</w:t>
      </w:r>
      <w:r>
        <w:t xml:space="preserve"> утверждено</w:t>
      </w:r>
      <w:r w:rsidRPr="000C23BD">
        <w:t xml:space="preserve"> </w:t>
      </w:r>
      <w:r w:rsidR="00F50F7A">
        <w:t>распоряжени</w:t>
      </w:r>
      <w:r>
        <w:t>ем</w:t>
      </w:r>
      <w:r w:rsidR="00F50F7A" w:rsidRPr="00F50F7A">
        <w:t xml:space="preserve"> </w:t>
      </w:r>
      <w:r>
        <w:t xml:space="preserve">комитета общего и профессионального образования Ленинградской области </w:t>
      </w:r>
      <w:r w:rsidR="00F50F7A">
        <w:t>от 07</w:t>
      </w:r>
      <w:r w:rsidR="000F5323">
        <w:t xml:space="preserve"> июня 2</w:t>
      </w:r>
      <w:r w:rsidR="00F50F7A">
        <w:t xml:space="preserve">022 года №1210-р </w:t>
      </w:r>
      <w:r>
        <w:t>(в редакции распоряжения</w:t>
      </w:r>
      <w:r w:rsidR="000F5323">
        <w:t xml:space="preserve"> от </w:t>
      </w:r>
      <w:r>
        <w:t>25</w:t>
      </w:r>
      <w:r w:rsidR="000F5323">
        <w:t xml:space="preserve"> </w:t>
      </w:r>
      <w:r>
        <w:t>декабря</w:t>
      </w:r>
      <w:r w:rsidR="000F5323">
        <w:t xml:space="preserve"> 202</w:t>
      </w:r>
      <w:r>
        <w:t>5</w:t>
      </w:r>
      <w:r w:rsidR="000F5323">
        <w:t xml:space="preserve"> №</w:t>
      </w:r>
      <w:r>
        <w:t>3447</w:t>
      </w:r>
      <w:r w:rsidR="000F5323">
        <w:t>-р)</w:t>
      </w:r>
      <w:r w:rsidR="007B32A0">
        <w:t xml:space="preserve"> </w:t>
      </w:r>
      <w:r w:rsidR="007B32A0" w:rsidRPr="007B32A0">
        <w:t>(далее - Положен</w:t>
      </w:r>
      <w:r w:rsidR="007B32A0">
        <w:t>ие об учетной политике комитета</w:t>
      </w:r>
      <w:r w:rsidR="007B32A0" w:rsidRPr="007B32A0">
        <w:t>)</w:t>
      </w:r>
      <w:r w:rsidR="003F15BD">
        <w:t>.</w:t>
      </w:r>
    </w:p>
    <w:p w:rsidR="007B32A0" w:rsidRDefault="007B32A0" w:rsidP="007B32A0">
      <w:pPr>
        <w:pStyle w:val="1"/>
        <w:tabs>
          <w:tab w:val="left" w:pos="1134"/>
          <w:tab w:val="left" w:pos="1560"/>
          <w:tab w:val="left" w:pos="2061"/>
        </w:tabs>
        <w:spacing w:after="80"/>
        <w:ind w:firstLine="709"/>
        <w:jc w:val="both"/>
      </w:pPr>
      <w:r>
        <w:t>Положение об учетной политике комитета приведено в соответствие с нормами положений Федерального закона от 06.12.2011 № 402-ФЗ «О бухгалтерском учете», федерального стандарта бухгалтерского учета для организаций государственного сектора «Учетная политика, оценочные значения и ошибки», утвержденного приказом Минфина от 30.12.2017 № 274н, федерального стандарта бухгалтерского учета государственных финансов «Единый план счетов бухгалтерского учета государственных финансов», утвержденного приказом Минфина от 30.08.2024 № 121н, федерального стандарта бухгалтерского учета государственных финансов «План счетов бюджетного учета», утвержденного приказом Министерства финансов Российской Федерации от 20 сентября 2024 года № 132н.</w:t>
      </w:r>
    </w:p>
    <w:p w:rsidR="007B32A0" w:rsidRDefault="007B32A0" w:rsidP="007B32A0">
      <w:pPr>
        <w:pStyle w:val="1"/>
        <w:tabs>
          <w:tab w:val="left" w:pos="1134"/>
          <w:tab w:val="left" w:pos="1560"/>
          <w:tab w:val="left" w:pos="2061"/>
        </w:tabs>
        <w:spacing w:after="80"/>
        <w:ind w:firstLine="709"/>
        <w:jc w:val="both"/>
      </w:pPr>
      <w:r>
        <w:t xml:space="preserve"> Положение об учетной политике комитета </w:t>
      </w:r>
      <w:r w:rsidR="00280116">
        <w:t xml:space="preserve">общего и профессионального образования Ленинградской области (далее - Комитет) </w:t>
      </w:r>
      <w:r>
        <w:t>содержит следующие разделы:</w:t>
      </w:r>
      <w:bookmarkStart w:id="0" w:name="bookmark4"/>
    </w:p>
    <w:p w:rsidR="007B32A0" w:rsidRDefault="003F15BD" w:rsidP="007B32A0">
      <w:pPr>
        <w:pStyle w:val="1"/>
        <w:numPr>
          <w:ilvl w:val="0"/>
          <w:numId w:val="21"/>
        </w:numPr>
        <w:tabs>
          <w:tab w:val="left" w:pos="1134"/>
          <w:tab w:val="left" w:pos="1560"/>
          <w:tab w:val="left" w:pos="2061"/>
        </w:tabs>
        <w:spacing w:after="80"/>
        <w:jc w:val="both"/>
      </w:pPr>
      <w:r w:rsidRPr="007B32A0">
        <w:t>Общие положения</w:t>
      </w:r>
      <w:bookmarkEnd w:id="0"/>
    </w:p>
    <w:p w:rsidR="007B32A0" w:rsidRDefault="007B32A0" w:rsidP="007B32A0">
      <w:pPr>
        <w:pStyle w:val="1"/>
        <w:numPr>
          <w:ilvl w:val="0"/>
          <w:numId w:val="21"/>
        </w:numPr>
        <w:tabs>
          <w:tab w:val="left" w:pos="1134"/>
          <w:tab w:val="left" w:pos="1560"/>
          <w:tab w:val="left" w:pos="2061"/>
        </w:tabs>
        <w:spacing w:after="80"/>
        <w:jc w:val="both"/>
      </w:pPr>
      <w:r w:rsidRPr="007B32A0">
        <w:t>Правила ведения бюджетного (бухгалтерского) учета</w:t>
      </w:r>
    </w:p>
    <w:p w:rsidR="007B32A0" w:rsidRDefault="007B32A0" w:rsidP="007B32A0">
      <w:pPr>
        <w:pStyle w:val="1"/>
        <w:numPr>
          <w:ilvl w:val="0"/>
          <w:numId w:val="21"/>
        </w:numPr>
        <w:tabs>
          <w:tab w:val="left" w:pos="1134"/>
          <w:tab w:val="left" w:pos="1560"/>
          <w:tab w:val="left" w:pos="2061"/>
        </w:tabs>
        <w:spacing w:after="80"/>
        <w:jc w:val="both"/>
      </w:pPr>
      <w:r w:rsidRPr="007B32A0">
        <w:t>Объекты бюджетного учета</w:t>
      </w:r>
    </w:p>
    <w:p w:rsidR="007B32A0" w:rsidRDefault="007B32A0" w:rsidP="007B32A0">
      <w:pPr>
        <w:pStyle w:val="1"/>
        <w:numPr>
          <w:ilvl w:val="0"/>
          <w:numId w:val="21"/>
        </w:numPr>
        <w:tabs>
          <w:tab w:val="left" w:pos="1134"/>
          <w:tab w:val="left" w:pos="1560"/>
          <w:tab w:val="left" w:pos="2061"/>
        </w:tabs>
        <w:spacing w:after="80"/>
        <w:jc w:val="both"/>
      </w:pPr>
      <w:r w:rsidRPr="007B32A0">
        <w:t>Санкционирование расходов</w:t>
      </w:r>
    </w:p>
    <w:p w:rsidR="007B32A0" w:rsidRDefault="007B32A0" w:rsidP="007B32A0">
      <w:pPr>
        <w:pStyle w:val="1"/>
        <w:numPr>
          <w:ilvl w:val="0"/>
          <w:numId w:val="21"/>
        </w:numPr>
        <w:tabs>
          <w:tab w:val="left" w:pos="1134"/>
          <w:tab w:val="left" w:pos="1560"/>
          <w:tab w:val="left" w:pos="2061"/>
        </w:tabs>
        <w:spacing w:after="80"/>
        <w:jc w:val="both"/>
        <w:rPr>
          <w:bCs/>
        </w:rPr>
      </w:pPr>
      <w:r w:rsidRPr="007B32A0">
        <w:rPr>
          <w:bCs/>
        </w:rPr>
        <w:t>Порядок проведения инвентаризации активов и обязательств</w:t>
      </w:r>
    </w:p>
    <w:p w:rsidR="00E265A9" w:rsidRDefault="00E265A9" w:rsidP="00E265A9">
      <w:pPr>
        <w:pStyle w:val="1"/>
        <w:tabs>
          <w:tab w:val="left" w:pos="1134"/>
          <w:tab w:val="left" w:pos="1560"/>
          <w:tab w:val="left" w:pos="2061"/>
        </w:tabs>
        <w:spacing w:after="80"/>
        <w:ind w:firstLine="709"/>
        <w:jc w:val="both"/>
      </w:pPr>
      <w:r w:rsidRPr="00E265A9">
        <w:t xml:space="preserve">Бюджетный учет </w:t>
      </w:r>
      <w:r w:rsidR="00280116">
        <w:t>К</w:t>
      </w:r>
      <w:r w:rsidRPr="00E265A9">
        <w:t>омитета осуществляется с учетом следующих основных положений:</w:t>
      </w:r>
    </w:p>
    <w:p w:rsidR="00D04736" w:rsidRDefault="003F15BD">
      <w:pPr>
        <w:pStyle w:val="1"/>
        <w:numPr>
          <w:ilvl w:val="1"/>
          <w:numId w:val="2"/>
        </w:numPr>
        <w:tabs>
          <w:tab w:val="left" w:pos="1331"/>
        </w:tabs>
        <w:ind w:firstLine="740"/>
        <w:jc w:val="both"/>
      </w:pPr>
      <w:r>
        <w:t>Ведение бюджетного учета в Комитете осуществляет начальник отдела финансирования и бухгалтерского уче</w:t>
      </w:r>
      <w:r w:rsidR="00280116">
        <w:t>та - главный бухгалтер Комитета</w:t>
      </w:r>
      <w:bookmarkStart w:id="1" w:name="_GoBack"/>
      <w:bookmarkEnd w:id="1"/>
      <w:r>
        <w:t>.</w:t>
      </w:r>
    </w:p>
    <w:p w:rsidR="00D04736" w:rsidRDefault="003F15BD" w:rsidP="00B855C0">
      <w:pPr>
        <w:pStyle w:val="1"/>
        <w:tabs>
          <w:tab w:val="left" w:pos="1331"/>
        </w:tabs>
        <w:ind w:firstLine="740"/>
        <w:jc w:val="both"/>
      </w:pPr>
      <w:r>
        <w:t>Ведение бюджетного учета по материально-техническому и финансовому обеспечению органов исполнительной власти Ленинградской области по единой смете доходов и расходов по разделу «Функционирование исполнительных органов государственной власти» возложено на Управление делами Правительства Ленинградской области.</w:t>
      </w:r>
    </w:p>
    <w:p w:rsidR="00D04736" w:rsidRDefault="003F15BD" w:rsidP="00B855C0">
      <w:pPr>
        <w:pStyle w:val="1"/>
        <w:tabs>
          <w:tab w:val="left" w:pos="1331"/>
        </w:tabs>
        <w:ind w:firstLine="740"/>
        <w:jc w:val="both"/>
      </w:pPr>
      <w:r>
        <w:t>Бюджетный учет ведется в электронном виде с применением программных продуктов:</w:t>
      </w:r>
    </w:p>
    <w:p w:rsidR="00ED318E" w:rsidRDefault="003F15BD" w:rsidP="00ED318E">
      <w:pPr>
        <w:pStyle w:val="1"/>
        <w:ind w:firstLine="740"/>
        <w:jc w:val="both"/>
      </w:pPr>
      <w:r>
        <w:t>подсистема бюджетного учета учреждений информационной системы «Управление бюджетным процессом Ленинградской области» (далее - ИС УБП)</w:t>
      </w:r>
      <w:r w:rsidR="00ED318E">
        <w:t>:</w:t>
      </w:r>
      <w:r w:rsidR="00ED318E" w:rsidRPr="00ED318E">
        <w:t xml:space="preserve"> </w:t>
      </w:r>
      <w:r w:rsidR="00ED318E">
        <w:t xml:space="preserve">система «Автоматизированный Центр Контроля - Финансы»; система «Автоматизированный Центр Контроля - Планирование»; </w:t>
      </w:r>
    </w:p>
    <w:p w:rsidR="004E4E13" w:rsidRDefault="004E4E13" w:rsidP="00ED318E">
      <w:pPr>
        <w:pStyle w:val="1"/>
        <w:ind w:firstLine="740"/>
        <w:jc w:val="both"/>
      </w:pPr>
      <w:r>
        <w:t xml:space="preserve">программа </w:t>
      </w:r>
      <w:r w:rsidRPr="00B138D0">
        <w:t>1</w:t>
      </w:r>
      <w:r w:rsidR="00912A58">
        <w:rPr>
          <w:lang w:val="en-US"/>
        </w:rPr>
        <w:t>C</w:t>
      </w:r>
      <w:r w:rsidR="00912A58">
        <w:t>: Предприятие</w:t>
      </w:r>
      <w:r>
        <w:t>;</w:t>
      </w:r>
    </w:p>
    <w:p w:rsidR="0048744F" w:rsidRPr="004E4E13" w:rsidRDefault="0048744F" w:rsidP="00ED318E">
      <w:pPr>
        <w:pStyle w:val="1"/>
        <w:ind w:firstLine="740"/>
        <w:jc w:val="both"/>
      </w:pPr>
      <w:r w:rsidRPr="000B3997">
        <w:t xml:space="preserve">подсистема управления доходами государственной интегрированной </w:t>
      </w:r>
      <w:r w:rsidRPr="000B3997">
        <w:lastRenderedPageBreak/>
        <w:t>информационной системы управления общественными финансами «Электронный бюджет» (далее – ПУД ГИИС «Электронный бюджет»);</w:t>
      </w:r>
    </w:p>
    <w:p w:rsidR="00D04736" w:rsidRDefault="003F15BD">
      <w:pPr>
        <w:pStyle w:val="1"/>
        <w:ind w:firstLine="740"/>
        <w:jc w:val="both"/>
      </w:pPr>
      <w:r>
        <w:t>система удаленного финансового документооборота Федерального казначейства (далее - СУФД);</w:t>
      </w:r>
    </w:p>
    <w:p w:rsidR="00D04736" w:rsidRDefault="003F15BD">
      <w:pPr>
        <w:pStyle w:val="1"/>
        <w:ind w:firstLine="740"/>
        <w:jc w:val="both"/>
      </w:pPr>
      <w:r>
        <w:t>пр</w:t>
      </w:r>
      <w:r w:rsidR="000B3997">
        <w:t>ограммный комплекс «Свод-Смарт».</w:t>
      </w:r>
    </w:p>
    <w:p w:rsidR="00D04736" w:rsidRPr="000B3997" w:rsidRDefault="003F15BD" w:rsidP="00B855C0">
      <w:pPr>
        <w:pStyle w:val="1"/>
        <w:tabs>
          <w:tab w:val="left" w:pos="1331"/>
        </w:tabs>
        <w:ind w:firstLine="709"/>
        <w:jc w:val="both"/>
      </w:pPr>
      <w:r>
        <w:t>Автоматизация бюджетного учета основана на едином взаимосвязанном технологическом процессе обработки первичных учетных документов и отражения операций по соответствующим разделам Рабочего плана счетов Комитет</w:t>
      </w:r>
      <w:r w:rsidR="001E359E">
        <w:t>а (далее - Рабочий план счетов)</w:t>
      </w:r>
      <w:r w:rsidRPr="000B3997">
        <w:t xml:space="preserve">, разработанного в соответствии с </w:t>
      </w:r>
      <w:r w:rsidR="00945CA2" w:rsidRPr="000B3997">
        <w:rPr>
          <w:bCs/>
        </w:rPr>
        <w:t>СГС «Единый план счетов»</w:t>
      </w:r>
      <w:r w:rsidR="00945CA2" w:rsidRPr="000B3997">
        <w:rPr>
          <w:b/>
          <w:bCs/>
          <w:sz w:val="36"/>
          <w:szCs w:val="36"/>
        </w:rPr>
        <w:t xml:space="preserve"> </w:t>
      </w:r>
      <w:r w:rsidR="00945CA2" w:rsidRPr="000B3997">
        <w:t>№ 121н</w:t>
      </w:r>
      <w:r w:rsidRPr="000B3997">
        <w:t xml:space="preserve">, </w:t>
      </w:r>
      <w:r w:rsidR="00945CA2" w:rsidRPr="000B3997">
        <w:t>СГС «План счетов бюджетного учета» № 132н</w:t>
      </w:r>
      <w:r w:rsidRPr="000B3997">
        <w:t>.</w:t>
      </w:r>
    </w:p>
    <w:p w:rsidR="00D04736" w:rsidRDefault="003F15BD" w:rsidP="001E359E">
      <w:pPr>
        <w:pStyle w:val="1"/>
        <w:tabs>
          <w:tab w:val="left" w:pos="1392"/>
        </w:tabs>
        <w:ind w:firstLine="740"/>
        <w:jc w:val="both"/>
      </w:pPr>
      <w:r>
        <w:t>Рабочий план счетов формируется в составе номеров счетов учета для ведения синтетического и аналитического учета.</w:t>
      </w:r>
      <w:r w:rsidR="001E359E">
        <w:t xml:space="preserve"> </w:t>
      </w:r>
      <w:r>
        <w:t>Рабочий план счетов содержит наименования и номера синтетических счетов объектов учета (синтетических кодов счетов и аналитических кодов синтетических счетов).</w:t>
      </w:r>
    </w:p>
    <w:p w:rsidR="00D04736" w:rsidRDefault="003F15BD" w:rsidP="00B855C0">
      <w:pPr>
        <w:pStyle w:val="1"/>
        <w:tabs>
          <w:tab w:val="left" w:pos="1331"/>
        </w:tabs>
        <w:ind w:firstLine="680"/>
        <w:jc w:val="both"/>
      </w:pPr>
      <w:r>
        <w:t>Бюджетная отчетность составляется в виде электронного документа, подписанного квалифицированной электронной подписью, годовая бюджетная отчетность хранится на бумажном носителе.</w:t>
      </w:r>
    </w:p>
    <w:p w:rsidR="00D04736" w:rsidRDefault="003F15BD" w:rsidP="00B855C0">
      <w:pPr>
        <w:pStyle w:val="1"/>
        <w:tabs>
          <w:tab w:val="left" w:pos="1331"/>
        </w:tabs>
        <w:ind w:firstLine="709"/>
        <w:jc w:val="both"/>
      </w:pPr>
      <w:r>
        <w:t>Сбор, хранение, обработку, предоставление и распространение информации, содержащейся в подсистемах ИС УБП, обеспечивающих ведение бюджетного (бухгалтерского) учета, обеспечивает Комитет финансов Ленинградской области.</w:t>
      </w:r>
    </w:p>
    <w:p w:rsidR="00D04736" w:rsidRDefault="003F15BD" w:rsidP="001E359E">
      <w:pPr>
        <w:pStyle w:val="1"/>
        <w:tabs>
          <w:tab w:val="left" w:pos="1331"/>
        </w:tabs>
        <w:ind w:firstLine="680"/>
        <w:jc w:val="both"/>
      </w:pPr>
      <w:r>
        <w:t>Первичные учетные документы, учетные регистры, бюджетная отчетность подлежат обязательной передаче в архив.</w:t>
      </w:r>
    </w:p>
    <w:p w:rsidR="00D04736" w:rsidRDefault="003F15BD" w:rsidP="007D45C5">
      <w:pPr>
        <w:pStyle w:val="1"/>
        <w:numPr>
          <w:ilvl w:val="1"/>
          <w:numId w:val="2"/>
        </w:numPr>
        <w:tabs>
          <w:tab w:val="left" w:pos="1331"/>
        </w:tabs>
        <w:ind w:firstLine="709"/>
        <w:jc w:val="both"/>
      </w:pPr>
      <w:r>
        <w:t>В Комитете ведение бюджетного учета объектов бюджетного учета осуществляется в денежном измерении (стоимостном выражении) с использованием:</w:t>
      </w:r>
    </w:p>
    <w:p w:rsidR="00D04736" w:rsidRDefault="003F15BD" w:rsidP="007D45C5">
      <w:pPr>
        <w:pStyle w:val="1"/>
        <w:ind w:firstLine="709"/>
        <w:jc w:val="both"/>
      </w:pPr>
      <w:r>
        <w:t xml:space="preserve">метода начисления, согласно которому результаты операций признаются в бюджетном учете по факту их совершения </w:t>
      </w:r>
      <w:r w:rsidRPr="007D45C5">
        <w:t>независимо от того, когда получены или</w:t>
      </w:r>
      <w:r>
        <w:t xml:space="preserve"> выплачены при расчетах, связанных с осуществлением указанных операций, денежные средства (или их эквиваленты);</w:t>
      </w:r>
    </w:p>
    <w:p w:rsidR="00D04736" w:rsidRDefault="003F15BD" w:rsidP="007D45C5">
      <w:pPr>
        <w:pStyle w:val="1"/>
        <w:ind w:firstLine="709"/>
        <w:jc w:val="both"/>
      </w:pPr>
      <w:r>
        <w:t>принципа равномерности признания доходов и расходов и объекты бухгалтерского учета отражаются в бухгалтерской (бюджетной) отчетности в том отчетном периоде, в котором имели место факты хозяйственной жизни;</w:t>
      </w:r>
    </w:p>
    <w:p w:rsidR="00D04736" w:rsidRDefault="003F15BD">
      <w:pPr>
        <w:pStyle w:val="1"/>
        <w:ind w:firstLine="720"/>
        <w:jc w:val="both"/>
      </w:pPr>
      <w:r>
        <w:t>метода двойной записи на взаимосвязанных балансовых счетах бюджетного учета, включенных в Рабочий план счетов.</w:t>
      </w:r>
    </w:p>
    <w:p w:rsidR="00D04736" w:rsidRPr="0080419A" w:rsidRDefault="003F15BD" w:rsidP="00B855C0">
      <w:pPr>
        <w:pStyle w:val="1"/>
        <w:tabs>
          <w:tab w:val="left" w:pos="1335"/>
        </w:tabs>
        <w:ind w:firstLine="709"/>
        <w:jc w:val="both"/>
      </w:pPr>
      <w:r w:rsidRPr="0080419A">
        <w:t>Порядок, сроки передачи и обработки первичных учетных документов для отражения их в бюджетном учете регулируются</w:t>
      </w:r>
      <w:r w:rsidR="0080419A" w:rsidRPr="0080419A">
        <w:t xml:space="preserve"> Правилами и</w:t>
      </w:r>
      <w:r w:rsidRPr="0080419A">
        <w:t xml:space="preserve"> </w:t>
      </w:r>
      <w:r w:rsidR="0080419A" w:rsidRPr="0080419A">
        <w:t>г</w:t>
      </w:r>
      <w:r w:rsidRPr="0080419A">
        <w:t>ра</w:t>
      </w:r>
      <w:r w:rsidR="001E359E">
        <w:t>фиком документооборота Комитета</w:t>
      </w:r>
      <w:r w:rsidRPr="0080419A">
        <w:t>.</w:t>
      </w:r>
    </w:p>
    <w:p w:rsidR="00D04736" w:rsidRDefault="003F15BD" w:rsidP="005B342E">
      <w:pPr>
        <w:pStyle w:val="1"/>
        <w:tabs>
          <w:tab w:val="left" w:leader="underscore" w:pos="9610"/>
        </w:tabs>
        <w:ind w:firstLine="720"/>
        <w:jc w:val="both"/>
      </w:pPr>
      <w:r>
        <w:t xml:space="preserve">Комитет применяет формы электронных первичных учетных документов и формы электронных регистров бухгалтерского учета при ведении бюджетного учета, утвержденные приказом Министерства финансов Российской Федерации от 15.04.2021 № 61н «Об утверждении унифицированных форм электронных документов бухгалтерского учета, применяемых при ведении бюджетного </w:t>
      </w:r>
      <w:r w:rsidRPr="005641A7">
        <w:t>учета, бухгалтерского учета государственных (муниципальных) учреждений, и Методических указаний по их формированию и применению» (далее - приказ Минфина РФ</w:t>
      </w:r>
      <w:r w:rsidR="004E6E3C">
        <w:t xml:space="preserve"> </w:t>
      </w:r>
      <w:r w:rsidRPr="005641A7">
        <w:t>от 15.04.2021 № 61н)</w:t>
      </w:r>
      <w:r w:rsidR="005B342E">
        <w:t>.</w:t>
      </w:r>
    </w:p>
    <w:p w:rsidR="00D04736" w:rsidRDefault="003F15BD" w:rsidP="00B855C0">
      <w:pPr>
        <w:pStyle w:val="1"/>
        <w:tabs>
          <w:tab w:val="left" w:pos="1335"/>
        </w:tabs>
        <w:ind w:firstLine="709"/>
        <w:jc w:val="both"/>
      </w:pPr>
      <w:r>
        <w:t xml:space="preserve">Документы, формы которых не унифицированы, должны содержать обязательные реквизиты, предусмотренные частью 2 статьи 9 Федерального закона от </w:t>
      </w:r>
      <w:r>
        <w:lastRenderedPageBreak/>
        <w:t>06.12.2011 № 402-ФЗ и пунктом 25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Министерства финансов Российской Федерации от 31.12.2016 № 256н (далее - Федеральный стандарт).</w:t>
      </w:r>
    </w:p>
    <w:p w:rsidR="00D04736" w:rsidRDefault="003F15BD" w:rsidP="00B855C0">
      <w:pPr>
        <w:pStyle w:val="1"/>
        <w:tabs>
          <w:tab w:val="left" w:pos="1335"/>
        </w:tabs>
        <w:ind w:firstLine="680"/>
        <w:jc w:val="both"/>
      </w:pPr>
      <w:r>
        <w:t>Правильность, полноту и своевременность регистрации объектов бюджетного учета (отражения фактов хозяйственной жизни) в регистрах бухгалтерского учета обеспечивают лица, составившие и подписавшие их.</w:t>
      </w:r>
    </w:p>
    <w:p w:rsidR="00D04736" w:rsidRDefault="003F15BD" w:rsidP="00B855C0">
      <w:pPr>
        <w:pStyle w:val="1"/>
        <w:tabs>
          <w:tab w:val="left" w:pos="1335"/>
        </w:tabs>
        <w:ind w:firstLine="709"/>
        <w:jc w:val="both"/>
      </w:pPr>
      <w:r>
        <w:t>Событиями после отчетной даты признаются существенные факты хозяйственной жизни, которые оказали или могут оказать влияние на финансовое состояние, движение денежных средств или результаты деятельности Комитета и которые имели место в период между отчетной датой и датой подписания бухгалтерской отчетности.</w:t>
      </w:r>
    </w:p>
    <w:p w:rsidR="00D04736" w:rsidRDefault="003F15BD" w:rsidP="00B855C0">
      <w:pPr>
        <w:pStyle w:val="1"/>
        <w:tabs>
          <w:tab w:val="left" w:pos="1995"/>
        </w:tabs>
        <w:ind w:firstLine="709"/>
        <w:jc w:val="both"/>
      </w:pPr>
      <w:r>
        <w:t>К событиям после отчетной даты, кроме фактов хозяйственной жизни, указанных в приказе Минфина России от 30.12.2017 № 275н "Об утверждении федерального стандарта бухгалтерского учета для организаций государственного сектора «События после отчетной даты» (далее - Приказ Минфина № 275н), относятся следующие события, подтверждающие условия деятельности:</w:t>
      </w:r>
    </w:p>
    <w:p w:rsidR="00D04736" w:rsidRDefault="003F15BD">
      <w:pPr>
        <w:pStyle w:val="1"/>
        <w:ind w:firstLine="680"/>
        <w:jc w:val="both"/>
      </w:pPr>
      <w:r>
        <w:t>выявление документально подтвержденных обстоятельств, указывающих на наличие у дебиторской задолженности признаков сомнительной, если по состоянию на отчетную дату в отношении этой дебиторской задолженности уже осуществлялись меры по ее взысканию;</w:t>
      </w:r>
    </w:p>
    <w:p w:rsidR="00D04736" w:rsidRDefault="003F15BD">
      <w:pPr>
        <w:pStyle w:val="1"/>
        <w:ind w:firstLine="680"/>
        <w:jc w:val="both"/>
      </w:pPr>
      <w:r>
        <w:t>завершение после отчетной даты оформления результатов инвентаризации активов и обязательств, проводимой в целях подтверждения данных годовой бухгалтерской (финансовой) отчетности.</w:t>
      </w:r>
    </w:p>
    <w:p w:rsidR="00D04736" w:rsidRDefault="003F15BD" w:rsidP="00B855C0">
      <w:pPr>
        <w:pStyle w:val="1"/>
        <w:tabs>
          <w:tab w:val="left" w:pos="1335"/>
        </w:tabs>
        <w:ind w:firstLine="680"/>
        <w:jc w:val="both"/>
      </w:pPr>
      <w:r>
        <w:t>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активов.</w:t>
      </w:r>
    </w:p>
    <w:p w:rsidR="00D04736" w:rsidRDefault="003F15BD" w:rsidP="00B855C0">
      <w:pPr>
        <w:pStyle w:val="1"/>
        <w:tabs>
          <w:tab w:val="left" w:pos="1335"/>
        </w:tabs>
        <w:ind w:firstLine="709"/>
        <w:jc w:val="both"/>
      </w:pPr>
      <w:r>
        <w:t>Администрирование доходов осуществляется по источникам доходов бюджетов бюджетной системы Российской Федерации по кодам бюджетной классификации, закрепленным за Комитетом распоряжением Комитета «О наделении полномочиями администратора доходов областного бюджета».</w:t>
      </w:r>
    </w:p>
    <w:p w:rsidR="00D04736" w:rsidRDefault="003F15BD" w:rsidP="00B855C0">
      <w:pPr>
        <w:pStyle w:val="1"/>
        <w:tabs>
          <w:tab w:val="left" w:pos="1329"/>
        </w:tabs>
        <w:ind w:firstLine="709"/>
        <w:jc w:val="both"/>
      </w:pPr>
      <w:r>
        <w:t>Списание невостребованной кредиторской задолженности осуществляется в соответствии с Порядком списания невостребованной кредиторской задолженности</w:t>
      </w:r>
      <w:r w:rsidR="001E359E">
        <w:t xml:space="preserve"> к учетной политике</w:t>
      </w:r>
      <w:r>
        <w:t>.</w:t>
      </w:r>
    </w:p>
    <w:p w:rsidR="00D04736" w:rsidRDefault="003F15BD" w:rsidP="001E359E">
      <w:pPr>
        <w:pStyle w:val="1"/>
        <w:numPr>
          <w:ilvl w:val="1"/>
          <w:numId w:val="2"/>
        </w:numPr>
        <w:tabs>
          <w:tab w:val="left" w:pos="1329"/>
        </w:tabs>
        <w:ind w:firstLine="680"/>
        <w:jc w:val="both"/>
      </w:pPr>
      <w:r>
        <w:t>Объектами бюджетного учета являются активы, обязательства Комитета, доходы, расходы, а также иные объекты, в том числе факты хозяйственной жизни, определенные федеральными стандартами, иными нормативными правовыми актами, регулирующими ведение бюджетного учета и составление бюджетной отчетности.</w:t>
      </w:r>
    </w:p>
    <w:p w:rsidR="000F750B" w:rsidRPr="000F750B" w:rsidRDefault="000F750B" w:rsidP="00B855C0">
      <w:pPr>
        <w:pStyle w:val="ac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750B">
        <w:rPr>
          <w:rFonts w:ascii="Times New Roman" w:eastAsia="Times New Roman" w:hAnsi="Times New Roman" w:cs="Times New Roman"/>
          <w:sz w:val="26"/>
          <w:szCs w:val="26"/>
        </w:rPr>
        <w:t>Выбытие материальных запасов признается по фактической стоимости каждой единицы запасов.</w:t>
      </w:r>
    </w:p>
    <w:p w:rsidR="00D04736" w:rsidRDefault="003F15BD" w:rsidP="00B855C0">
      <w:pPr>
        <w:pStyle w:val="1"/>
        <w:tabs>
          <w:tab w:val="left" w:pos="1370"/>
        </w:tabs>
        <w:ind w:firstLine="660"/>
        <w:jc w:val="both"/>
      </w:pPr>
      <w:r>
        <w:t>Учет расчетов с поставщиками и подрядчиками ведется на счетах бюджетного учета в соответствии с бюджетной классификацией.</w:t>
      </w:r>
    </w:p>
    <w:p w:rsidR="00D04736" w:rsidRDefault="003F15BD">
      <w:pPr>
        <w:pStyle w:val="1"/>
        <w:ind w:firstLine="660"/>
        <w:jc w:val="both"/>
      </w:pPr>
      <w:r w:rsidRPr="004E6E3C">
        <w:t>Аналитический учет расчетов по пособиям и иным социальным выплатам</w:t>
      </w:r>
      <w:r w:rsidR="004E6E3C">
        <w:t xml:space="preserve"> и </w:t>
      </w:r>
      <w:r w:rsidR="00D24A68">
        <w:t>по р</w:t>
      </w:r>
      <w:r w:rsidR="00D24A68" w:rsidRPr="00D24A68">
        <w:t>асчет</w:t>
      </w:r>
      <w:r w:rsidR="00D24A68">
        <w:t>ам</w:t>
      </w:r>
      <w:r w:rsidR="00D24A68" w:rsidRPr="00D24A68">
        <w:t xml:space="preserve"> по иным выплатам текущего характера физическим ли</w:t>
      </w:r>
      <w:r w:rsidRPr="004E6E3C">
        <w:t xml:space="preserve"> ведется в Журнале по </w:t>
      </w:r>
      <w:r w:rsidRPr="004E6E3C">
        <w:lastRenderedPageBreak/>
        <w:t>прочим операциям в разрезе</w:t>
      </w:r>
      <w:r w:rsidR="004E6E3C">
        <w:t xml:space="preserve"> получателей (</w:t>
      </w:r>
      <w:r w:rsidRPr="004E6E3C">
        <w:t>групп получателей</w:t>
      </w:r>
      <w:r w:rsidR="004E6E3C">
        <w:t>)</w:t>
      </w:r>
      <w:r w:rsidRPr="004E6E3C">
        <w:t xml:space="preserve"> выплат.</w:t>
      </w:r>
      <w:r w:rsidR="00D8564C" w:rsidRPr="004E6E3C">
        <w:t xml:space="preserve"> Сверка</w:t>
      </w:r>
      <w:r w:rsidR="00C039A3">
        <w:t xml:space="preserve"> групп получателей выплат</w:t>
      </w:r>
      <w:r w:rsidR="00D8564C" w:rsidRPr="004E6E3C">
        <w:t xml:space="preserve"> данных бухгалтерского и управленческого учета производится ежеквартально.</w:t>
      </w:r>
      <w:r w:rsidR="00D8564C">
        <w:t xml:space="preserve">  </w:t>
      </w:r>
    </w:p>
    <w:p w:rsidR="00D04736" w:rsidRDefault="003F15BD" w:rsidP="00B855C0">
      <w:pPr>
        <w:pStyle w:val="1"/>
        <w:tabs>
          <w:tab w:val="left" w:pos="1365"/>
        </w:tabs>
        <w:ind w:firstLine="709"/>
        <w:jc w:val="both"/>
      </w:pPr>
      <w:r>
        <w:t>Субсидии (текущего и капитального характера) подведомственным бюджетным и автономным учреждениям Комитет предоставляет на основании соглашений, где указаны условия, размер и сроки перечисления субсидии (далее - субсидии).</w:t>
      </w:r>
    </w:p>
    <w:p w:rsidR="00D04736" w:rsidRDefault="003F15BD">
      <w:pPr>
        <w:pStyle w:val="1"/>
        <w:ind w:firstLine="660"/>
        <w:jc w:val="both"/>
      </w:pPr>
      <w:r>
        <w:t xml:space="preserve">Зачет субсидий осуществляется на основании информации о достижении условий предоставления указанных субсидий и отражается по дебету соответствующих счетов аналитического учета счетов </w:t>
      </w:r>
      <w:r w:rsidR="00D8564C">
        <w:t>0</w:t>
      </w:r>
      <w:r>
        <w:t xml:space="preserve"> 302 </w:t>
      </w:r>
      <w:r w:rsidR="00D8564C">
        <w:t>00</w:t>
      </w:r>
      <w:r>
        <w:t xml:space="preserve"> 83</w:t>
      </w:r>
      <w:r w:rsidR="00D8564C">
        <w:t>0</w:t>
      </w:r>
      <w:r>
        <w:t xml:space="preserve"> в следующие сроки:</w:t>
      </w:r>
    </w:p>
    <w:p w:rsidR="00D04736" w:rsidRDefault="003F15BD">
      <w:pPr>
        <w:pStyle w:val="1"/>
        <w:ind w:firstLine="660"/>
        <w:jc w:val="both"/>
      </w:pPr>
      <w:r>
        <w:t>субсидии на выполнение государственного задания на оказание государственных услуг по завершении финансового года на основании отчетов бюджетных (автономных) учреждений о выполнение государственного задания;</w:t>
      </w:r>
    </w:p>
    <w:p w:rsidR="00D04736" w:rsidRDefault="003F15BD">
      <w:pPr>
        <w:pStyle w:val="1"/>
        <w:ind w:firstLine="660"/>
        <w:jc w:val="both"/>
      </w:pPr>
      <w:r>
        <w:t>субсидии на иные цели на основании отчета об использовании субсидий на иные цели, не связанные с финансовым обеспечением выполнения государственного задания на оказание государственных услуг.</w:t>
      </w:r>
    </w:p>
    <w:p w:rsidR="00D04736" w:rsidRDefault="003F15BD">
      <w:pPr>
        <w:pStyle w:val="1"/>
        <w:ind w:firstLine="660"/>
        <w:jc w:val="both"/>
      </w:pPr>
      <w:r>
        <w:t>Целевые межбюджетные трансферты (далее МБТ) - бюджетам соответствующих публично-правовых образований (далее - получатели МБТ) Комитет предоставляет на основании заявок от получателей МБТ в соответствии с областным законом о бюджете Ленинградской области о бюджете на текущий финансовый год и плановый период.</w:t>
      </w:r>
    </w:p>
    <w:p w:rsidR="00D04736" w:rsidRDefault="003F15BD">
      <w:pPr>
        <w:pStyle w:val="1"/>
        <w:ind w:firstLine="660"/>
        <w:jc w:val="both"/>
      </w:pPr>
      <w:r>
        <w:t>Зачет МБТ осуществляется ежеквартально на основании отчетов о расходовании средств, предоставляемых в виде межбюджетных трансфертов из областного бюджета Ленинградской области местным бюджетам.</w:t>
      </w:r>
    </w:p>
    <w:p w:rsidR="00955C95" w:rsidRPr="00955C95" w:rsidRDefault="00955C95" w:rsidP="00B855C0">
      <w:pPr>
        <w:pStyle w:val="1"/>
        <w:numPr>
          <w:ilvl w:val="0"/>
          <w:numId w:val="8"/>
        </w:numPr>
        <w:tabs>
          <w:tab w:val="left" w:pos="1330"/>
        </w:tabs>
        <w:ind w:firstLine="658"/>
        <w:jc w:val="both"/>
      </w:pPr>
      <w:bookmarkStart w:id="2" w:name="_ref_1-e5c3201eeb7540"/>
      <w:r w:rsidRPr="00955C95">
        <w:t>Учет принимаемых обязательств осуществляется на основании </w:t>
      </w:r>
      <w:r w:rsidR="001640D2">
        <w:t>контракта (договора) на поставку товаров, выполнение работ, оказание услуг</w:t>
      </w:r>
      <w:bookmarkEnd w:id="2"/>
      <w:r w:rsidR="001640D2">
        <w:t xml:space="preserve">, </w:t>
      </w:r>
      <w:r w:rsidR="001640D2" w:rsidRPr="001640D2">
        <w:t>бухгалтерской справки (ф. 0504833).</w:t>
      </w:r>
    </w:p>
    <w:p w:rsidR="00955C95" w:rsidRPr="00955C95" w:rsidRDefault="00955C95" w:rsidP="007B2D2D">
      <w:pPr>
        <w:pStyle w:val="1"/>
        <w:tabs>
          <w:tab w:val="left" w:pos="1330"/>
        </w:tabs>
        <w:ind w:firstLine="851"/>
        <w:jc w:val="both"/>
      </w:pPr>
      <w:bookmarkStart w:id="3" w:name="_ref_1-731c7ac1727547"/>
      <w:r w:rsidRPr="00955C95">
        <w:t>Учет обязательств осуществляется на основании:</w:t>
      </w:r>
      <w:bookmarkEnd w:id="3"/>
      <w:r w:rsidR="0076562D">
        <w:t xml:space="preserve"> </w:t>
      </w:r>
      <w:r w:rsidRPr="00955C95">
        <w:t>договора (контракта) на поставку товаров, выполнение работ, оказание услуг;</w:t>
      </w:r>
      <w:r w:rsidR="007B2D2D">
        <w:t xml:space="preserve"> </w:t>
      </w:r>
      <w:r w:rsidRPr="00955C95">
        <w:t>исполнительного листа, судебного приказа;</w:t>
      </w:r>
      <w:r w:rsidR="007B2D2D">
        <w:t xml:space="preserve"> </w:t>
      </w:r>
      <w:r w:rsidRPr="00955C95">
        <w:t>соглашения о предоставлении из бюджета межбюджетного трансферта;</w:t>
      </w:r>
      <w:r w:rsidR="007B2D2D">
        <w:t xml:space="preserve"> </w:t>
      </w:r>
      <w:r w:rsidRPr="00955C95">
        <w:t>договора (соглашения) о предоставлении субсидии бюджетному или автономному учреждению;</w:t>
      </w:r>
      <w:r w:rsidR="007B2D2D">
        <w:t xml:space="preserve"> </w:t>
      </w:r>
      <w:r w:rsidRPr="00955C95">
        <w:t>закона, нормативного правового акта, в соответствии с которыми возникают публичные нормативные обязательства;</w:t>
      </w:r>
    </w:p>
    <w:p w:rsidR="00955C95" w:rsidRPr="00955C95" w:rsidRDefault="00955C95" w:rsidP="007B2D2D">
      <w:pPr>
        <w:pStyle w:val="1"/>
        <w:tabs>
          <w:tab w:val="left" w:pos="1134"/>
        </w:tabs>
        <w:ind w:firstLine="851"/>
        <w:jc w:val="both"/>
      </w:pPr>
      <w:bookmarkStart w:id="4" w:name="_ref_1-0fc9698131ea4c"/>
      <w:r w:rsidRPr="00955C95">
        <w:t>Учет денежных обязательств осуществляется на основании:</w:t>
      </w:r>
      <w:bookmarkEnd w:id="4"/>
      <w:r w:rsidR="007B2D2D">
        <w:t xml:space="preserve"> </w:t>
      </w:r>
      <w:r w:rsidRPr="00955C95">
        <w:t>бухгалтерской справки (</w:t>
      </w:r>
      <w:hyperlink r:id="rId8" w:history="1">
        <w:r w:rsidRPr="00955C95">
          <w:t>ф. 0504833</w:t>
        </w:r>
      </w:hyperlink>
      <w:r w:rsidRPr="00955C95">
        <w:t>);</w:t>
      </w:r>
      <w:r w:rsidR="007B2D2D">
        <w:t xml:space="preserve"> </w:t>
      </w:r>
      <w:r w:rsidRPr="00955C95">
        <w:t>акта выполненных работ;</w:t>
      </w:r>
      <w:r w:rsidR="007B2D2D">
        <w:t xml:space="preserve"> </w:t>
      </w:r>
      <w:r w:rsidRPr="00955C95">
        <w:t>договора в случае осуществления авансовых платежей в соответствии с его условиями;</w:t>
      </w:r>
      <w:r w:rsidR="007B2D2D">
        <w:t xml:space="preserve"> </w:t>
      </w:r>
      <w:r w:rsidRPr="00955C95">
        <w:t>товарной накладной (</w:t>
      </w:r>
      <w:hyperlink r:id="rId9" w:history="1">
        <w:r w:rsidRPr="00955C95">
          <w:t>ф. 0330212</w:t>
        </w:r>
      </w:hyperlink>
      <w:r w:rsidRPr="00955C95">
        <w:t>);</w:t>
      </w:r>
      <w:r w:rsidR="007B2D2D">
        <w:t xml:space="preserve"> </w:t>
      </w:r>
      <w:r w:rsidRPr="00955C95">
        <w:t>универсального передаточного документа;</w:t>
      </w:r>
      <w:r w:rsidR="007B2D2D">
        <w:t xml:space="preserve"> </w:t>
      </w:r>
      <w:r w:rsidRPr="00955C95">
        <w:t>исполнительного листа, судебного приказа.</w:t>
      </w:r>
    </w:p>
    <w:p w:rsidR="000403E8" w:rsidRDefault="000403E8" w:rsidP="007B2D2D">
      <w:pPr>
        <w:pStyle w:val="1"/>
        <w:numPr>
          <w:ilvl w:val="0"/>
          <w:numId w:val="8"/>
        </w:numPr>
        <w:tabs>
          <w:tab w:val="left" w:pos="1328"/>
        </w:tabs>
        <w:ind w:firstLine="709"/>
        <w:jc w:val="both"/>
      </w:pPr>
      <w:r>
        <w:t>Целями инвентаризации являются выявление фактического наличия имущества, сопоставление с данными учета и проверка полноты и корректности отражения в учете обязательств.</w:t>
      </w:r>
    </w:p>
    <w:p w:rsidR="000403E8" w:rsidRDefault="000403E8" w:rsidP="00280116">
      <w:pPr>
        <w:pStyle w:val="1"/>
        <w:tabs>
          <w:tab w:val="left" w:pos="1328"/>
        </w:tabs>
        <w:ind w:firstLine="709"/>
        <w:jc w:val="both"/>
      </w:pPr>
      <w:r>
        <w:t>Период проведения инвентаризации:</w:t>
      </w:r>
      <w:r w:rsidR="00280116">
        <w:t xml:space="preserve"> </w:t>
      </w:r>
      <w:r>
        <w:t>основных средств и нематериальных активов не реже одного раза в три года не ранее 1 ноября;</w:t>
      </w:r>
      <w:r w:rsidR="00280116">
        <w:t xml:space="preserve"> </w:t>
      </w:r>
      <w:r>
        <w:t>материальных запасов, включая БСО, не реже одного раза в год не ранее 1 ноября;</w:t>
      </w:r>
      <w:r w:rsidR="00280116">
        <w:t xml:space="preserve"> </w:t>
      </w:r>
      <w:r>
        <w:t>финансовых активов и обязательств в период с 1 января по 1 февраля года, следующего за отчетным (по состоянию на 31 декабря отчетного года), но не позднее сроков сдачи годовой отчетности.</w:t>
      </w:r>
    </w:p>
    <w:p w:rsidR="000403E8" w:rsidRDefault="000403E8" w:rsidP="00280116">
      <w:pPr>
        <w:pStyle w:val="1"/>
        <w:tabs>
          <w:tab w:val="left" w:pos="1328"/>
        </w:tabs>
        <w:ind w:firstLine="709"/>
        <w:jc w:val="both"/>
      </w:pPr>
      <w:r>
        <w:t xml:space="preserve">Проведение инвентаризации обязательно перед составлением годовой </w:t>
      </w:r>
      <w:r>
        <w:lastRenderedPageBreak/>
        <w:t>бухгалтерской отчетности, при смене ответственных лиц (на день приемки-передачи дел), при выявлении фактов хищения, злоупотребления или порчи имущества, в случаях стихийного бедствия, пожара или других чрезвычайных ситуаций, вызванных экстремальными условиями, в других случаях, предусмотренных законодательством Российской Федерации, иными нормативными правовыми актами Российской Федерации.</w:t>
      </w:r>
      <w:r w:rsidRPr="000403E8">
        <w:t xml:space="preserve"> </w:t>
      </w:r>
    </w:p>
    <w:p w:rsidR="000403E8" w:rsidRDefault="000403E8" w:rsidP="00280116">
      <w:pPr>
        <w:pStyle w:val="1"/>
        <w:tabs>
          <w:tab w:val="left" w:pos="1328"/>
        </w:tabs>
        <w:ind w:firstLine="709"/>
        <w:jc w:val="both"/>
      </w:pPr>
      <w:r>
        <w:t>Для осуществления контроля, обеспечивающего сохранность материальных ценностей и денежных средств, помимо обязательных случаев проведения инвентаризации в течение отчетного периода может быть инициировано проведение внеплановой инвентаризации.</w:t>
      </w:r>
    </w:p>
    <w:p w:rsidR="00D04736" w:rsidRPr="00CB18CE" w:rsidRDefault="003F15BD" w:rsidP="00280116">
      <w:pPr>
        <w:pStyle w:val="1"/>
        <w:tabs>
          <w:tab w:val="left" w:pos="1365"/>
        </w:tabs>
        <w:ind w:firstLine="709"/>
        <w:jc w:val="both"/>
      </w:pPr>
      <w:r w:rsidRPr="00CB18CE">
        <w:t>При инвентаризации денежных средств на лицевых счетах Комитета инвентаризационная комиссия сверяет остатки на счете 3.201.11.000 «Денежные средства учреждения на лицевых счетах в органе казначейства» с данными в системе «Автоматизированный Центр Контроля - Финансы» (далее - система «АЦК - финансы») и сведениями по исполнению государственных контрактов комитета.</w:t>
      </w:r>
    </w:p>
    <w:p w:rsidR="00D04736" w:rsidRDefault="003F15BD" w:rsidP="00280116">
      <w:pPr>
        <w:pStyle w:val="1"/>
        <w:tabs>
          <w:tab w:val="left" w:pos="1360"/>
        </w:tabs>
        <w:ind w:firstLine="709"/>
        <w:jc w:val="both"/>
      </w:pPr>
      <w:r w:rsidRPr="00CB18CE">
        <w:t>Инвентаризация финансовых вложений по счету</w:t>
      </w:r>
      <w:r>
        <w:t xml:space="preserve"> 1.204.33.000 «Участие в государственных (муниципальных) предприятиях» проводится инвентаризационной комиссией в части проверки участия комитета в подведомственных бюджетных (автономных) учреждениях в стоимостной оценке, равной балансовой стоимости особо ценного имущества этих учреждений (далее - показатель).</w:t>
      </w:r>
    </w:p>
    <w:p w:rsidR="00D04736" w:rsidRDefault="003F15BD" w:rsidP="00280116">
      <w:pPr>
        <w:pStyle w:val="1"/>
        <w:tabs>
          <w:tab w:val="left" w:pos="1375"/>
        </w:tabs>
        <w:ind w:firstLine="709"/>
        <w:jc w:val="both"/>
      </w:pPr>
      <w:r>
        <w:t>Инвентаризацию расчетов с дебиторами и кредиторами комиссия проводит с использованием данных аналитического учета, первичных документов, данных в системе «АЦК - финансы». Для подтверждения, обоснования задолженности и ее суммы составляются и подписываются акты сверки расчетов.</w:t>
      </w:r>
    </w:p>
    <w:p w:rsidR="000C2CC6" w:rsidRDefault="000C2CC6" w:rsidP="000C2CC6">
      <w:pPr>
        <w:pStyle w:val="1"/>
        <w:tabs>
          <w:tab w:val="left" w:pos="1360"/>
        </w:tabs>
        <w:ind w:left="709" w:firstLine="0"/>
        <w:jc w:val="both"/>
      </w:pPr>
    </w:p>
    <w:p w:rsidR="000C2CC6" w:rsidRDefault="000C2CC6" w:rsidP="009909F7">
      <w:pPr>
        <w:pStyle w:val="30"/>
        <w:ind w:right="-25"/>
      </w:pPr>
    </w:p>
    <w:p w:rsidR="00983122" w:rsidRDefault="00983122" w:rsidP="009909F7">
      <w:pPr>
        <w:pStyle w:val="30"/>
        <w:ind w:right="-25"/>
      </w:pPr>
    </w:p>
    <w:p w:rsidR="00983122" w:rsidRDefault="00983122" w:rsidP="009909F7">
      <w:pPr>
        <w:pStyle w:val="30"/>
        <w:ind w:right="-25"/>
      </w:pPr>
    </w:p>
    <w:p w:rsidR="00983122" w:rsidRDefault="00983122" w:rsidP="009909F7">
      <w:pPr>
        <w:pStyle w:val="30"/>
        <w:ind w:right="-25"/>
      </w:pPr>
    </w:p>
    <w:p w:rsidR="00983122" w:rsidRDefault="00983122" w:rsidP="009909F7">
      <w:pPr>
        <w:pStyle w:val="30"/>
        <w:ind w:right="-25"/>
      </w:pPr>
    </w:p>
    <w:p w:rsidR="00983122" w:rsidRDefault="00983122" w:rsidP="009909F7">
      <w:pPr>
        <w:pStyle w:val="30"/>
        <w:ind w:right="-25"/>
      </w:pPr>
    </w:p>
    <w:p w:rsidR="00983122" w:rsidRDefault="00983122" w:rsidP="009909F7">
      <w:pPr>
        <w:pStyle w:val="30"/>
        <w:ind w:right="-25"/>
      </w:pPr>
    </w:p>
    <w:p w:rsidR="00983122" w:rsidRDefault="00983122" w:rsidP="009909F7">
      <w:pPr>
        <w:pStyle w:val="30"/>
        <w:ind w:right="-25"/>
      </w:pPr>
    </w:p>
    <w:sectPr w:rsidR="00983122">
      <w:headerReference w:type="default" r:id="rId10"/>
      <w:footerReference w:type="default" r:id="rId11"/>
      <w:footerReference w:type="first" r:id="rId12"/>
      <w:pgSz w:w="12240" w:h="15840"/>
      <w:pgMar w:top="1055" w:right="1036" w:bottom="1055" w:left="1554" w:header="627" w:footer="6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500" w:rsidRDefault="00F55500">
      <w:r>
        <w:separator/>
      </w:r>
    </w:p>
  </w:endnote>
  <w:endnote w:type="continuationSeparator" w:id="0">
    <w:p w:rsidR="00F55500" w:rsidRDefault="00F5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2A0" w:rsidRPr="00A309A8" w:rsidRDefault="007B32A0" w:rsidP="00A309A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2A0" w:rsidRDefault="007B32A0">
    <w:pPr>
      <w:pStyle w:val="af"/>
    </w:pPr>
  </w:p>
  <w:p w:rsidR="007B32A0" w:rsidRDefault="007B32A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500" w:rsidRDefault="00F55500"/>
  </w:footnote>
  <w:footnote w:type="continuationSeparator" w:id="0">
    <w:p w:rsidR="00F55500" w:rsidRDefault="00F555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2A0" w:rsidRDefault="007B32A0">
    <w:pPr>
      <w:pStyle w:val="ad"/>
    </w:pP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612"/>
    <w:multiLevelType w:val="multilevel"/>
    <w:tmpl w:val="6712A30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4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607D1"/>
    <w:multiLevelType w:val="multilevel"/>
    <w:tmpl w:val="EBD6051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8E52DF"/>
    <w:multiLevelType w:val="multilevel"/>
    <w:tmpl w:val="FB7EC62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1A1EE8"/>
    <w:multiLevelType w:val="multilevel"/>
    <w:tmpl w:val="CF5C72E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C35B1D"/>
    <w:multiLevelType w:val="multilevel"/>
    <w:tmpl w:val="42D2D7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D1569B"/>
    <w:multiLevelType w:val="multilevel"/>
    <w:tmpl w:val="8CAAFBD0"/>
    <w:lvl w:ilvl="0">
      <w:start w:val="3"/>
      <w:numFmt w:val="decimal"/>
      <w:lvlText w:val="%1."/>
      <w:lvlJc w:val="left"/>
    </w:lvl>
    <w:lvl w:ilvl="1">
      <w:start w:val="4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3E6FF4"/>
    <w:multiLevelType w:val="multilevel"/>
    <w:tmpl w:val="CB0AE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564C73"/>
    <w:multiLevelType w:val="multilevel"/>
    <w:tmpl w:val="518829C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605752"/>
    <w:multiLevelType w:val="multilevel"/>
    <w:tmpl w:val="6C9AD8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825726"/>
    <w:multiLevelType w:val="multilevel"/>
    <w:tmpl w:val="2056F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3B7EFF"/>
    <w:multiLevelType w:val="multilevel"/>
    <w:tmpl w:val="C5D401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B64FBD"/>
    <w:multiLevelType w:val="multilevel"/>
    <w:tmpl w:val="8D84740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A86181"/>
    <w:multiLevelType w:val="hybridMultilevel"/>
    <w:tmpl w:val="8DC8D3EE"/>
    <w:lvl w:ilvl="0" w:tplc="638A1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0519B9"/>
    <w:multiLevelType w:val="multilevel"/>
    <w:tmpl w:val="232A6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C51B27"/>
    <w:multiLevelType w:val="multilevel"/>
    <w:tmpl w:val="BD9E0D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3F7700"/>
    <w:multiLevelType w:val="multilevel"/>
    <w:tmpl w:val="B2D2A354"/>
    <w:lvl w:ilvl="0">
      <w:start w:val="1"/>
      <w:numFmt w:val="decimal"/>
      <w:pStyle w:val="heading1normal"/>
      <w:suff w:val="space"/>
      <w:lvlText w:val="%1."/>
      <w:lvlJc w:val="left"/>
      <w:rPr>
        <w:rFonts w:hint="default"/>
        <w:b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6">
    <w:nsid w:val="5A0540A7"/>
    <w:multiLevelType w:val="multilevel"/>
    <w:tmpl w:val="36802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B97614"/>
    <w:multiLevelType w:val="multilevel"/>
    <w:tmpl w:val="7D989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947B81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10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  <w:num w:numId="11">
    <w:abstractNumId w:val="13"/>
  </w:num>
  <w:num w:numId="12">
    <w:abstractNumId w:val="3"/>
  </w:num>
  <w:num w:numId="13">
    <w:abstractNumId w:val="7"/>
  </w:num>
  <w:num w:numId="14">
    <w:abstractNumId w:val="11"/>
  </w:num>
  <w:num w:numId="15">
    <w:abstractNumId w:val="16"/>
  </w:num>
  <w:num w:numId="16">
    <w:abstractNumId w:val="2"/>
  </w:num>
  <w:num w:numId="17">
    <w:abstractNumId w:val="18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36"/>
    <w:rsid w:val="00001A96"/>
    <w:rsid w:val="00025000"/>
    <w:rsid w:val="000403E8"/>
    <w:rsid w:val="00052FAF"/>
    <w:rsid w:val="00085ED6"/>
    <w:rsid w:val="000B3997"/>
    <w:rsid w:val="000C23BD"/>
    <w:rsid w:val="000C2CC6"/>
    <w:rsid w:val="000F5323"/>
    <w:rsid w:val="000F64E3"/>
    <w:rsid w:val="000F750B"/>
    <w:rsid w:val="00112627"/>
    <w:rsid w:val="00114DD7"/>
    <w:rsid w:val="00120147"/>
    <w:rsid w:val="00135762"/>
    <w:rsid w:val="00143529"/>
    <w:rsid w:val="001640D2"/>
    <w:rsid w:val="001836E0"/>
    <w:rsid w:val="00186EE4"/>
    <w:rsid w:val="001A14D7"/>
    <w:rsid w:val="001E359E"/>
    <w:rsid w:val="001E7758"/>
    <w:rsid w:val="00205051"/>
    <w:rsid w:val="0022656B"/>
    <w:rsid w:val="002342B5"/>
    <w:rsid w:val="00245176"/>
    <w:rsid w:val="00275E20"/>
    <w:rsid w:val="002777A4"/>
    <w:rsid w:val="00280116"/>
    <w:rsid w:val="0028625D"/>
    <w:rsid w:val="002A29DA"/>
    <w:rsid w:val="002B2C54"/>
    <w:rsid w:val="003233BF"/>
    <w:rsid w:val="00327A50"/>
    <w:rsid w:val="0033487B"/>
    <w:rsid w:val="0034199D"/>
    <w:rsid w:val="00353A05"/>
    <w:rsid w:val="00355171"/>
    <w:rsid w:val="003669F4"/>
    <w:rsid w:val="00371233"/>
    <w:rsid w:val="0038322B"/>
    <w:rsid w:val="003A1B4A"/>
    <w:rsid w:val="003C49F6"/>
    <w:rsid w:val="003C7272"/>
    <w:rsid w:val="003D7EFC"/>
    <w:rsid w:val="003F15BD"/>
    <w:rsid w:val="004139A5"/>
    <w:rsid w:val="004337FF"/>
    <w:rsid w:val="00440002"/>
    <w:rsid w:val="00444916"/>
    <w:rsid w:val="0048744F"/>
    <w:rsid w:val="00495B34"/>
    <w:rsid w:val="004965C0"/>
    <w:rsid w:val="004A546D"/>
    <w:rsid w:val="004C3513"/>
    <w:rsid w:val="004C3AAF"/>
    <w:rsid w:val="004E4E13"/>
    <w:rsid w:val="004E6E3C"/>
    <w:rsid w:val="00543905"/>
    <w:rsid w:val="00551B77"/>
    <w:rsid w:val="005641A7"/>
    <w:rsid w:val="005776EF"/>
    <w:rsid w:val="0059195C"/>
    <w:rsid w:val="005A10F1"/>
    <w:rsid w:val="005B342A"/>
    <w:rsid w:val="005B342E"/>
    <w:rsid w:val="005D2F71"/>
    <w:rsid w:val="0060256E"/>
    <w:rsid w:val="00612BFC"/>
    <w:rsid w:val="006218E8"/>
    <w:rsid w:val="00623782"/>
    <w:rsid w:val="00624D83"/>
    <w:rsid w:val="006271A3"/>
    <w:rsid w:val="00633037"/>
    <w:rsid w:val="00636665"/>
    <w:rsid w:val="00642D01"/>
    <w:rsid w:val="00674113"/>
    <w:rsid w:val="00675012"/>
    <w:rsid w:val="0067668C"/>
    <w:rsid w:val="00691FB6"/>
    <w:rsid w:val="006A5E6B"/>
    <w:rsid w:val="006F4F7F"/>
    <w:rsid w:val="00705868"/>
    <w:rsid w:val="007074F5"/>
    <w:rsid w:val="0072642E"/>
    <w:rsid w:val="0073035D"/>
    <w:rsid w:val="00753B4F"/>
    <w:rsid w:val="00760B70"/>
    <w:rsid w:val="0076562D"/>
    <w:rsid w:val="007746AF"/>
    <w:rsid w:val="007749B0"/>
    <w:rsid w:val="00791EB7"/>
    <w:rsid w:val="00792BFE"/>
    <w:rsid w:val="00793F1E"/>
    <w:rsid w:val="007962A3"/>
    <w:rsid w:val="007A2697"/>
    <w:rsid w:val="007B2D2D"/>
    <w:rsid w:val="007B32A0"/>
    <w:rsid w:val="007C4A44"/>
    <w:rsid w:val="007D45C5"/>
    <w:rsid w:val="0080419A"/>
    <w:rsid w:val="00820117"/>
    <w:rsid w:val="00827316"/>
    <w:rsid w:val="008435D2"/>
    <w:rsid w:val="00845F6D"/>
    <w:rsid w:val="008576E9"/>
    <w:rsid w:val="00857F73"/>
    <w:rsid w:val="00864863"/>
    <w:rsid w:val="008742E4"/>
    <w:rsid w:val="00881F90"/>
    <w:rsid w:val="008A519E"/>
    <w:rsid w:val="008B35B0"/>
    <w:rsid w:val="008C3476"/>
    <w:rsid w:val="008C3BE0"/>
    <w:rsid w:val="008C6F07"/>
    <w:rsid w:val="008D1FEE"/>
    <w:rsid w:val="00912A58"/>
    <w:rsid w:val="009342AD"/>
    <w:rsid w:val="00945CA2"/>
    <w:rsid w:val="00955C95"/>
    <w:rsid w:val="00983122"/>
    <w:rsid w:val="009909F7"/>
    <w:rsid w:val="00990AF9"/>
    <w:rsid w:val="009C23B7"/>
    <w:rsid w:val="009C2935"/>
    <w:rsid w:val="009D01DE"/>
    <w:rsid w:val="009D43DB"/>
    <w:rsid w:val="009E6852"/>
    <w:rsid w:val="009E7F3B"/>
    <w:rsid w:val="00A00DB2"/>
    <w:rsid w:val="00A234F7"/>
    <w:rsid w:val="00A309A8"/>
    <w:rsid w:val="00A542B7"/>
    <w:rsid w:val="00A640E9"/>
    <w:rsid w:val="00A74E5B"/>
    <w:rsid w:val="00A94996"/>
    <w:rsid w:val="00A96FF4"/>
    <w:rsid w:val="00AB0EFB"/>
    <w:rsid w:val="00AB7CA9"/>
    <w:rsid w:val="00AE0546"/>
    <w:rsid w:val="00B13224"/>
    <w:rsid w:val="00B138D0"/>
    <w:rsid w:val="00B16E1F"/>
    <w:rsid w:val="00B2656A"/>
    <w:rsid w:val="00B34CEF"/>
    <w:rsid w:val="00B4059A"/>
    <w:rsid w:val="00B431B1"/>
    <w:rsid w:val="00B51E75"/>
    <w:rsid w:val="00B54CC3"/>
    <w:rsid w:val="00B70C10"/>
    <w:rsid w:val="00B75FF9"/>
    <w:rsid w:val="00B810DF"/>
    <w:rsid w:val="00B83477"/>
    <w:rsid w:val="00B855C0"/>
    <w:rsid w:val="00B95C5A"/>
    <w:rsid w:val="00BB25F5"/>
    <w:rsid w:val="00BB76A3"/>
    <w:rsid w:val="00C039A3"/>
    <w:rsid w:val="00C204F2"/>
    <w:rsid w:val="00C51440"/>
    <w:rsid w:val="00C76534"/>
    <w:rsid w:val="00C874D2"/>
    <w:rsid w:val="00C92531"/>
    <w:rsid w:val="00CB18CE"/>
    <w:rsid w:val="00CB202E"/>
    <w:rsid w:val="00CB4975"/>
    <w:rsid w:val="00CE331E"/>
    <w:rsid w:val="00D007E2"/>
    <w:rsid w:val="00D04736"/>
    <w:rsid w:val="00D1083B"/>
    <w:rsid w:val="00D20858"/>
    <w:rsid w:val="00D226FD"/>
    <w:rsid w:val="00D239F7"/>
    <w:rsid w:val="00D24A68"/>
    <w:rsid w:val="00D41205"/>
    <w:rsid w:val="00D57253"/>
    <w:rsid w:val="00D8564C"/>
    <w:rsid w:val="00D94C73"/>
    <w:rsid w:val="00D95E9C"/>
    <w:rsid w:val="00DB5E31"/>
    <w:rsid w:val="00DC0A98"/>
    <w:rsid w:val="00DE5A56"/>
    <w:rsid w:val="00E265A9"/>
    <w:rsid w:val="00E434A2"/>
    <w:rsid w:val="00E61BD1"/>
    <w:rsid w:val="00E62E03"/>
    <w:rsid w:val="00E7723A"/>
    <w:rsid w:val="00EA53DF"/>
    <w:rsid w:val="00EA74DA"/>
    <w:rsid w:val="00ED318E"/>
    <w:rsid w:val="00F06AF2"/>
    <w:rsid w:val="00F216A2"/>
    <w:rsid w:val="00F30307"/>
    <w:rsid w:val="00F333D1"/>
    <w:rsid w:val="00F50F7A"/>
    <w:rsid w:val="00F55500"/>
    <w:rsid w:val="00F6099C"/>
    <w:rsid w:val="00F63614"/>
    <w:rsid w:val="00F740FF"/>
    <w:rsid w:val="00FB0953"/>
    <w:rsid w:val="00FB7DFD"/>
    <w:rsid w:val="00FC4CD3"/>
    <w:rsid w:val="00FF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D74D49-C66B-4059-9F5B-97B7C1FF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487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780"/>
      <w:ind w:left="6520" w:right="22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after="18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a"/>
    <w:link w:val="10"/>
    <w:pPr>
      <w:spacing w:after="18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Колонтитул"/>
    <w:basedOn w:val="a"/>
    <w:link w:val="a8"/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pacing w:after="70"/>
      <w:ind w:left="198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0">
    <w:name w:val="Основной текст (7)"/>
    <w:basedOn w:val="a"/>
    <w:link w:val="7"/>
    <w:pPr>
      <w:spacing w:after="60"/>
    </w:pPr>
    <w:rPr>
      <w:rFonts w:ascii="Arial" w:eastAsia="Arial" w:hAnsi="Arial" w:cs="Arial"/>
      <w:b/>
      <w:bCs/>
      <w:sz w:val="14"/>
      <w:szCs w:val="14"/>
    </w:rPr>
  </w:style>
  <w:style w:type="paragraph" w:styleId="aa">
    <w:name w:val="Balloon Text"/>
    <w:basedOn w:val="a"/>
    <w:link w:val="ab"/>
    <w:uiPriority w:val="99"/>
    <w:semiHidden/>
    <w:unhideWhenUsed/>
    <w:rsid w:val="00EA74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74DA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0F750B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C351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C3513"/>
    <w:rPr>
      <w:color w:val="000000"/>
    </w:rPr>
  </w:style>
  <w:style w:type="paragraph" w:styleId="af">
    <w:name w:val="footer"/>
    <w:basedOn w:val="a"/>
    <w:link w:val="af0"/>
    <w:uiPriority w:val="99"/>
    <w:unhideWhenUsed/>
    <w:rsid w:val="004C351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C3513"/>
    <w:rPr>
      <w:color w:val="000000"/>
    </w:rPr>
  </w:style>
  <w:style w:type="table" w:styleId="af1">
    <w:name w:val="Table Grid"/>
    <w:basedOn w:val="a1"/>
    <w:uiPriority w:val="39"/>
    <w:rsid w:val="004E6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8576E9"/>
    <w:pPr>
      <w:widowControl/>
      <w:numPr>
        <w:numId w:val="19"/>
      </w:numPr>
      <w:spacing w:before="120" w:after="120" w:line="276" w:lineRule="auto"/>
      <w:ind w:firstLine="482"/>
      <w:jc w:val="both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8576E9"/>
    <w:pPr>
      <w:widowControl/>
      <w:numPr>
        <w:ilvl w:val="1"/>
        <w:numId w:val="19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8576E9"/>
    <w:pPr>
      <w:widowControl/>
      <w:numPr>
        <w:ilvl w:val="2"/>
        <w:numId w:val="19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8576E9"/>
    <w:pPr>
      <w:widowControl/>
      <w:numPr>
        <w:ilvl w:val="3"/>
        <w:numId w:val="19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8576E9"/>
    <w:pPr>
      <w:widowControl/>
      <w:numPr>
        <w:ilvl w:val="4"/>
        <w:numId w:val="19"/>
      </w:numPr>
      <w:spacing w:before="120" w:after="120" w:line="276" w:lineRule="auto"/>
      <w:ind w:firstLine="482"/>
      <w:jc w:val="both"/>
      <w:outlineLvl w:val="4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8576E9"/>
    <w:pPr>
      <w:widowControl/>
      <w:numPr>
        <w:ilvl w:val="5"/>
        <w:numId w:val="19"/>
      </w:numPr>
      <w:spacing w:before="120" w:after="12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8576E9"/>
    <w:pPr>
      <w:widowControl/>
      <w:numPr>
        <w:ilvl w:val="6"/>
        <w:numId w:val="19"/>
      </w:numPr>
      <w:spacing w:before="120" w:after="12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8576E9"/>
    <w:pPr>
      <w:widowControl/>
      <w:numPr>
        <w:ilvl w:val="7"/>
        <w:numId w:val="19"/>
      </w:numPr>
      <w:spacing w:before="120" w:after="12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8576E9"/>
    <w:pPr>
      <w:widowControl/>
      <w:numPr>
        <w:ilvl w:val="8"/>
        <w:numId w:val="19"/>
      </w:numPr>
      <w:spacing w:before="120" w:after="12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85455;fld=134;dst=102365;las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23886;fld=134;dst=101670;la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C50B2-7358-4FB2-A142-E760B38A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Надежда Александровна</dc:creator>
  <cp:lastModifiedBy>Надежда Александровна Прохорова</cp:lastModifiedBy>
  <cp:revision>29</cp:revision>
  <cp:lastPrinted>2024-06-27T12:08:00Z</cp:lastPrinted>
  <dcterms:created xsi:type="dcterms:W3CDTF">2025-11-17T13:34:00Z</dcterms:created>
  <dcterms:modified xsi:type="dcterms:W3CDTF">2026-05-18T08:38:00Z</dcterms:modified>
</cp:coreProperties>
</file>