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3" w:rsidRDefault="00545503" w:rsidP="00545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04">
        <w:rPr>
          <w:rFonts w:ascii="Times New Roman" w:hAnsi="Times New Roman" w:cs="Times New Roman"/>
          <w:b/>
          <w:sz w:val="24"/>
          <w:szCs w:val="24"/>
        </w:rPr>
        <w:t>ГАОУ ДПО</w:t>
      </w:r>
    </w:p>
    <w:p w:rsidR="00545503" w:rsidRPr="002D6304" w:rsidRDefault="00545503" w:rsidP="00545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0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ЛЕНИНГРАДСКИЙ ОБЛАСТНОЙ ИНСТИТУТ РАЗВИТИЯ ОБРАЗОВАНИЯ</w:t>
      </w:r>
      <w:r w:rsidRPr="002D6304">
        <w:rPr>
          <w:rFonts w:ascii="Times New Roman" w:hAnsi="Times New Roman" w:cs="Times New Roman"/>
          <w:b/>
          <w:sz w:val="24"/>
          <w:szCs w:val="24"/>
        </w:rPr>
        <w:t>»</w:t>
      </w:r>
    </w:p>
    <w:p w:rsidR="00545503" w:rsidRPr="002D6304" w:rsidRDefault="00545503" w:rsidP="00545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</w:t>
      </w:r>
      <w:r w:rsidR="007D3D19">
        <w:rPr>
          <w:rFonts w:ascii="Times New Roman" w:hAnsi="Times New Roman" w:cs="Times New Roman"/>
          <w:b/>
          <w:sz w:val="24"/>
          <w:szCs w:val="24"/>
        </w:rPr>
        <w:t>СТРУКТИВ</w:t>
      </w:r>
      <w:r>
        <w:rPr>
          <w:rFonts w:ascii="Times New Roman" w:hAnsi="Times New Roman" w:cs="Times New Roman"/>
          <w:b/>
          <w:sz w:val="24"/>
          <w:szCs w:val="24"/>
        </w:rPr>
        <w:t>НО-МЕТОДИЧЕСКОЕ ПИСЬМО</w:t>
      </w:r>
    </w:p>
    <w:p w:rsidR="00545503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РАБОТЕ УЧИТЕЛЯ ХИМИИ В ОБЩЕОБРАЗОВАТЕЛЬНЫХ УЧРЕЖДЕНИЯХ ОБЛАСТИ В 201</w:t>
      </w:r>
      <w:r w:rsidR="006E23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E239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545503" w:rsidRPr="00EC0AE2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Введенская А.Г., методист кафедры</w:t>
      </w:r>
    </w:p>
    <w:p w:rsidR="00545503" w:rsidRDefault="00545503" w:rsidP="0054550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естественно-географического образования </w:t>
      </w: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Цурикова С.В., старший преподаватель     </w:t>
      </w:r>
    </w:p>
    <w:p w:rsidR="00545503" w:rsidRDefault="00545503" w:rsidP="0054550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кафедры  естественно-географического образования </w:t>
      </w: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E239E">
        <w:rPr>
          <w:rFonts w:ascii="Times New Roman" w:hAnsi="Times New Roman" w:cs="Times New Roman"/>
          <w:sz w:val="24"/>
          <w:szCs w:val="24"/>
        </w:rPr>
        <w:t>8</w:t>
      </w: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 xml:space="preserve"> О Федеральном перечне учебников</w:t>
      </w: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(ВПР, ОГЭ,ЕГЭ) в Ленинградской области (201</w:t>
      </w:r>
      <w:r w:rsidR="006E239E">
        <w:rPr>
          <w:rFonts w:ascii="Times New Roman" w:hAnsi="Times New Roman" w:cs="Times New Roman"/>
          <w:b/>
          <w:sz w:val="28"/>
          <w:szCs w:val="28"/>
        </w:rPr>
        <w:t>7</w:t>
      </w:r>
      <w:r w:rsidRPr="00056796">
        <w:rPr>
          <w:rFonts w:ascii="Times New Roman" w:hAnsi="Times New Roman" w:cs="Times New Roman"/>
          <w:b/>
          <w:sz w:val="28"/>
          <w:szCs w:val="28"/>
        </w:rPr>
        <w:t>-201</w:t>
      </w:r>
      <w:r w:rsidR="006E239E">
        <w:rPr>
          <w:rFonts w:ascii="Times New Roman" w:hAnsi="Times New Roman" w:cs="Times New Roman"/>
          <w:b/>
          <w:sz w:val="28"/>
          <w:szCs w:val="28"/>
        </w:rPr>
        <w:t>8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учебном году)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45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45503" w:rsidRPr="00545503" w:rsidRDefault="00545503" w:rsidP="00545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503" w:rsidRPr="00545503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 xml:space="preserve">Химия. 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>Пропедевтический курс</w:t>
      </w:r>
      <w:r w:rsidR="00F03408">
        <w:rPr>
          <w:rFonts w:ascii="Times New Roman" w:hAnsi="Times New Roman" w:cs="Times New Roman"/>
          <w:b/>
          <w:sz w:val="28"/>
          <w:szCs w:val="28"/>
        </w:rPr>
        <w:t>.</w:t>
      </w: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>Подготовка к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школьному  и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муниципальному этапу Всероссийской олимпиады школьников по химии в 201</w:t>
      </w:r>
      <w:r w:rsidR="006E239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56796">
        <w:rPr>
          <w:rFonts w:ascii="Times New Roman" w:hAnsi="Times New Roman" w:cs="Times New Roman"/>
          <w:b/>
          <w:sz w:val="28"/>
          <w:szCs w:val="28"/>
        </w:rPr>
        <w:t>-201</w:t>
      </w:r>
      <w:r w:rsidR="006E239E">
        <w:rPr>
          <w:rFonts w:ascii="Times New Roman" w:hAnsi="Times New Roman" w:cs="Times New Roman"/>
          <w:b/>
          <w:sz w:val="28"/>
          <w:szCs w:val="28"/>
        </w:rPr>
        <w:t>9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503" w:rsidRPr="00545503" w:rsidRDefault="00545503" w:rsidP="00545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645A">
        <w:rPr>
          <w:rFonts w:ascii="Times New Roman" w:hAnsi="Times New Roman" w:cs="Times New Roman"/>
          <w:b/>
          <w:sz w:val="28"/>
          <w:szCs w:val="28"/>
        </w:rPr>
        <w:t>Рекомендации к аттестации на первую и высшую квалификационные категории (для учителей химии всех типов ОУ Ленинградской области)</w:t>
      </w:r>
    </w:p>
    <w:p w:rsidR="007C4A87" w:rsidRDefault="007C4A87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5503" w:rsidRPr="00BE5ADF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DF">
        <w:rPr>
          <w:rFonts w:ascii="Times New Roman" w:hAnsi="Times New Roman" w:cs="Times New Roman"/>
          <w:b/>
          <w:sz w:val="28"/>
          <w:szCs w:val="28"/>
        </w:rPr>
        <w:lastRenderedPageBreak/>
        <w:t>О Федеральном перечне учебников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законодательству, список рекомендованных учебников формируется один раз в три года.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перечень был принят в 2014 году.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(Министерство образования и науки РФ. Приказ № 253 от 31.03.2014 г. 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4C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64C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федеральный перечень учебников останется без изменений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4C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64C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выйдет новый федеральный  перечень учебников, соответствующий новой Концепции преподавания химии.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A5" w:rsidRDefault="000E7AA5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C0" w:rsidRDefault="00EB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итоговой аттестации (ВПР, ОГЭ, ЕГЭ) </w:t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t>(201</w:t>
      </w:r>
      <w:r w:rsidR="00B64C41">
        <w:rPr>
          <w:rFonts w:ascii="Times New Roman" w:hAnsi="Times New Roman" w:cs="Times New Roman"/>
          <w:b/>
          <w:sz w:val="28"/>
          <w:szCs w:val="28"/>
        </w:rPr>
        <w:t>7</w:t>
      </w:r>
      <w:r w:rsidRPr="0077793E">
        <w:rPr>
          <w:rFonts w:ascii="Times New Roman" w:hAnsi="Times New Roman" w:cs="Times New Roman"/>
          <w:b/>
          <w:sz w:val="28"/>
          <w:szCs w:val="28"/>
        </w:rPr>
        <w:t>-201</w:t>
      </w:r>
      <w:r w:rsidR="00B64C41">
        <w:rPr>
          <w:rFonts w:ascii="Times New Roman" w:hAnsi="Times New Roman" w:cs="Times New Roman"/>
          <w:b/>
          <w:sz w:val="28"/>
          <w:szCs w:val="28"/>
        </w:rPr>
        <w:t>8</w:t>
      </w:r>
      <w:r w:rsidRPr="0077793E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B64C41" w:rsidRPr="00F668F8" w:rsidRDefault="00B64C41" w:rsidP="00B64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химии, выполненной в средних школах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4C41" w:rsidRDefault="00B64C41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20B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Сравнительный анализ процента выполнения заданий ВПР по химии  учащимися Ленинградской области в  2018 году:</w:t>
      </w: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B64C41" w:rsidRPr="00C364CA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/>
      </w:tblPr>
      <w:tblGrid>
        <w:gridCol w:w="1380"/>
        <w:gridCol w:w="3097"/>
        <w:gridCol w:w="3002"/>
        <w:gridCol w:w="2092"/>
      </w:tblGrid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097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00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092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-7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092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-16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-14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-9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+18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03" w:type="dxa"/>
        <w:tblLook w:val="04A0"/>
      </w:tblPr>
      <w:tblGrid>
        <w:gridCol w:w="1467"/>
        <w:gridCol w:w="3036"/>
        <w:gridCol w:w="3036"/>
        <w:gridCol w:w="2464"/>
      </w:tblGrid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036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036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464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-5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+4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-4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-6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-7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+5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</w:tbl>
    <w:p w:rsidR="00B64C41" w:rsidRP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4C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64CA">
        <w:rPr>
          <w:rFonts w:ascii="Times New Roman" w:hAnsi="Times New Roman" w:cs="Times New Roman"/>
          <w:b/>
          <w:sz w:val="24"/>
          <w:szCs w:val="24"/>
        </w:rPr>
        <w:t>.</w:t>
      </w:r>
    </w:p>
    <w:p w:rsidR="00B64C41" w:rsidRPr="002C45C4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4C41" w:rsidTr="00B64C41">
        <w:tc>
          <w:tcPr>
            <w:tcW w:w="9571" w:type="dxa"/>
            <w:gridSpan w:val="4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сравнении с Ленинградской областью 2017 г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всех заданий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в среднем процент выполнения отличается по сравнению с ЛО в 2017 году</w:t>
            </w:r>
          </w:p>
        </w:tc>
      </w:tr>
      <w:tr w:rsidR="00B64C41" w:rsidTr="00B64C41">
        <w:tc>
          <w:tcPr>
            <w:tcW w:w="2392" w:type="dxa"/>
          </w:tcPr>
          <w:p w:rsidR="00B64C41" w:rsidRPr="00BB4CAF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чем в 2017 г.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33,33%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+ </w:t>
            </w: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8,8%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осталось на том же уровне.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6,67%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ниже, чем в 2017 г.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 </w:t>
            </w: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88</w:t>
            </w: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</w:p>
        </w:tc>
      </w:tr>
      <w:tr w:rsidR="00B64C41" w:rsidTr="00B64C41">
        <w:tc>
          <w:tcPr>
            <w:tcW w:w="9571" w:type="dxa"/>
            <w:gridSpan w:val="4"/>
          </w:tcPr>
          <w:p w:rsidR="00B64C41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сравнении с Россией 2018 г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всех заданий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в среднем процент выполнения отличается по сравнению с Россией в 2018 году</w:t>
            </w:r>
          </w:p>
        </w:tc>
      </w:tr>
      <w:tr w:rsidR="00B64C41" w:rsidTr="00B64C41">
        <w:tc>
          <w:tcPr>
            <w:tcW w:w="2392" w:type="dxa"/>
          </w:tcPr>
          <w:p w:rsidR="00B64C41" w:rsidRPr="00BB4CAF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чем  по России.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26,67%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</w:t>
            </w: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3,25%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осталось на том же уровне.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ниже, чем по  России.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- 4,11%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Pr="00C364CA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68F8">
        <w:rPr>
          <w:rFonts w:ascii="Times New Roman" w:hAnsi="Times New Roman" w:cs="Times New Roman"/>
          <w:b/>
          <w:sz w:val="24"/>
          <w:szCs w:val="24"/>
        </w:rPr>
        <w:t>.</w:t>
      </w:r>
      <w:r w:rsidRPr="002C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8F8">
        <w:rPr>
          <w:rFonts w:ascii="Times New Roman" w:hAnsi="Times New Roman" w:cs="Times New Roman"/>
          <w:b/>
          <w:sz w:val="24"/>
          <w:szCs w:val="24"/>
        </w:rPr>
        <w:t>Результаты выполнения ВПР:</w:t>
      </w:r>
    </w:p>
    <w:tbl>
      <w:tblPr>
        <w:tblStyle w:val="a6"/>
        <w:tblW w:w="0" w:type="auto"/>
        <w:tblLook w:val="04A0"/>
      </w:tblPr>
      <w:tblGrid>
        <w:gridCol w:w="2943"/>
        <w:gridCol w:w="3437"/>
        <w:gridCol w:w="3191"/>
      </w:tblGrid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учащихся, набравших баллов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% учащихся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А.                0 -12  (2)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31 (2017 -99)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1,68%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6,59 %)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Б.                13 -22  (3)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693 (2017 -648)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37,63%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43,14 %)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В.                23 – 28  (4)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841 (2017 -509)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45,65%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33, 89%)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Г.                 29 – 33  (5)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277 (2017 -246)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15,03%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16,38%)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213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% выполнения ВПР:  </w:t>
      </w:r>
      <w:r w:rsidRPr="00F77A86">
        <w:rPr>
          <w:rFonts w:ascii="Times New Roman" w:hAnsi="Times New Roman" w:cs="Times New Roman"/>
          <w:b/>
          <w:i/>
          <w:color w:val="0070C0"/>
          <w:sz w:val="24"/>
          <w:szCs w:val="24"/>
        </w:rPr>
        <w:t>98,3%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(2017 - 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93,41 %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;     </w:t>
      </w:r>
    </w:p>
    <w:p w:rsidR="00B64C41" w:rsidRDefault="00B64C41" w:rsidP="00B64C4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% качественного выполнения  ВПР: </w:t>
      </w:r>
      <w:r w:rsidRPr="00F77A86">
        <w:rPr>
          <w:rFonts w:ascii="Times New Roman" w:hAnsi="Times New Roman" w:cs="Times New Roman"/>
          <w:b/>
          <w:i/>
          <w:color w:val="0070C0"/>
          <w:sz w:val="24"/>
          <w:szCs w:val="24"/>
        </w:rPr>
        <w:t>60,69%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( 2017 -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50,27%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4C41" w:rsidRP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68F8">
        <w:rPr>
          <w:rFonts w:ascii="Times New Roman" w:hAnsi="Times New Roman" w:cs="Times New Roman"/>
          <w:b/>
          <w:sz w:val="24"/>
          <w:szCs w:val="24"/>
        </w:rPr>
        <w:t>. Низкие результаты показаны при выполнении следующих заданий  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013"/>
        <w:gridCol w:w="3761"/>
        <w:gridCol w:w="861"/>
        <w:gridCol w:w="1261"/>
      </w:tblGrid>
      <w:tr w:rsidR="00B64C41" w:rsidRPr="00F668F8" w:rsidTr="00B64C41">
        <w:tc>
          <w:tcPr>
            <w:tcW w:w="675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9424B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Задание проверочной работы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заданиями проверочной  работы</w:t>
            </w: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61" w:type="dxa"/>
          </w:tcPr>
          <w:p w:rsidR="00B64C41" w:rsidRPr="009424BD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ыполе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скобках – результат  2017 года)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Атом. Изотопы. Атомные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- 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(19%)</w:t>
            </w:r>
          </w:p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простых веществ-металлов и неметаллов. Характерные химические свойства оксидов (основных,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кислотных).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 – металлов: щелочных, щелочноземельных, алюминия; переходных металлов (меди, цинка, хрома, железа). Электрохимический ряд напряжений металлов. Общие способы получения металлов.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61" w:type="dxa"/>
          </w:tcPr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кислот, солей (средних). 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61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13%</w:t>
            </w:r>
          </w:p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 Реакции ионного обмена.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Диссоциация электролитов в водных растворов. Реакции ионного обмена.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(17%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(54%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Реакции окислительно-восстановительные.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- восстановительные реакции.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B64C41" w:rsidRPr="0045045B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(46%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веществ.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неорганических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</w:p>
        </w:tc>
        <w:tc>
          <w:tcPr>
            <w:tcW w:w="12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(8%)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(56%)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; кислородсодержащих соединений: одно- и многоатомные спирты, фенол, альдегиды, одноосновные карбоновые кислоты, сложные эфиры, жиры, углеводы; азотсодержащих соединений: аминов, аминокислот, белков.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и диены,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арены. Химические свойства и получение. Природные источники углеводородов: нефть и природный газ.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 Химические свойства и получение.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соединения: амины, аминокислоты, белки. Химические свойства и получение.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(58%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9424BD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4C41" w:rsidRPr="00244E7B" w:rsidRDefault="00B64C41" w:rsidP="00B6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Взаимосвязь между основными классами органических веществ.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и диены,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арены. Химические свойства и получение. Природные источники углеводородов: нефть и природный газ.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 Химические свойства и получение.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соединения: амины, аминокислоты, белки. Химические свойства и получение.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4</w:t>
            </w: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26</w:t>
            </w: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(33%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41" w:rsidRPr="00F668F8" w:rsidTr="00B64C41">
        <w:tc>
          <w:tcPr>
            <w:tcW w:w="675" w:type="dxa"/>
          </w:tcPr>
          <w:p w:rsidR="00B64C41" w:rsidRPr="009424BD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64C41" w:rsidRPr="009424BD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13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количества вещества, массы или объема по количеству вещества, массе или объему одного из реагентов или продуктов реакции. Природные источники углеводородов: нефть и природный газ.</w:t>
            </w:r>
          </w:p>
          <w:p w:rsidR="00B64C41" w:rsidRPr="00244E7B" w:rsidRDefault="00B64C41" w:rsidP="00B64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B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- допустимая концентрация вещества.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(Только в 2018 году).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2C5C46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4%</w:t>
            </w: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C5C46">
              <w:rPr>
                <w:rFonts w:ascii="Times New Roman" w:hAnsi="Times New Roman" w:cs="Times New Roman"/>
                <w:b/>
                <w:sz w:val="20"/>
                <w:szCs w:val="20"/>
              </w:rPr>
              <w:t>(0)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29</w:t>
            </w: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(11%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68</w:t>
            </w: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(55%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использованием понятия «массовая доля вещества в растворе».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на основе формул и уравнений реакций: 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(51%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Pr="00A17888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68F8">
        <w:rPr>
          <w:rFonts w:ascii="Times New Roman" w:hAnsi="Times New Roman" w:cs="Times New Roman"/>
          <w:b/>
          <w:sz w:val="24"/>
          <w:szCs w:val="24"/>
        </w:rPr>
        <w:t>На основании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а результатов выполненных работ 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выявлены контролируемые элементы содержания (КЭС), вызвавшие у учащихся 11 классов наибольшие затруднения.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Объяснение зависимости свойств химических элементов от положения элемента в Периодической системе химических элементов Д.И.Менделеева; (задание №3).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уравнений реакций  получения предлагаемых веществ; (задание №6, №7).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Написание ионных уравнений химических реакций, распознавание катионов и анионов  (теория электролитической  диссоциации); (задание №8).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Определение степеней  окисления химических элементов, окислителя и восстановителя;  составление электронного  баланса и молекулярного  уравнения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восстановительной реакции; (задание №9).</w:t>
      </w: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Pr="00F668F8">
        <w:rPr>
          <w:rFonts w:ascii="Times New Roman" w:hAnsi="Times New Roman" w:cs="Times New Roman"/>
          <w:sz w:val="24"/>
          <w:szCs w:val="24"/>
        </w:rPr>
        <w:t xml:space="preserve">аписание уравнений реакций, характеризующих взаимосвязь между основными классами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668F8">
        <w:rPr>
          <w:rFonts w:ascii="Times New Roman" w:hAnsi="Times New Roman" w:cs="Times New Roman"/>
          <w:sz w:val="24"/>
          <w:szCs w:val="24"/>
        </w:rPr>
        <w:t>органических веществ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6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68F8">
        <w:rPr>
          <w:rFonts w:ascii="Times New Roman" w:hAnsi="Times New Roman" w:cs="Times New Roman"/>
          <w:sz w:val="24"/>
          <w:szCs w:val="24"/>
        </w:rPr>
        <w:t>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Написание уравнений реакций, характеризующих химические свойства основных классов органических соединений; (задание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</w:t>
      </w:r>
      <w:r w:rsidRPr="00F668F8">
        <w:rPr>
          <w:rFonts w:ascii="Times New Roman" w:hAnsi="Times New Roman" w:cs="Times New Roman"/>
          <w:sz w:val="24"/>
          <w:szCs w:val="24"/>
        </w:rPr>
        <w:t>аписание уравнений реакций, характеризующих взаимосвязь между основными классами органических веществ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6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68F8">
        <w:rPr>
          <w:rFonts w:ascii="Times New Roman" w:hAnsi="Times New Roman" w:cs="Times New Roman"/>
          <w:sz w:val="24"/>
          <w:szCs w:val="24"/>
        </w:rPr>
        <w:t>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Проведение расчетов с использованием понятия  предельно – допустимая концентрация вещества; (задание №14).</w:t>
      </w:r>
    </w:p>
    <w:p w:rsidR="00EB71C0" w:rsidRDefault="00B64C41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Проведение расчетов с использованием понятия «массовая доля растворенного вещества в растворе».</w:t>
      </w: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3E">
        <w:rPr>
          <w:rFonts w:ascii="Times New Roman" w:hAnsi="Times New Roman" w:cs="Times New Roman"/>
          <w:b/>
          <w:sz w:val="24"/>
          <w:szCs w:val="24"/>
        </w:rPr>
        <w:t>Типовые задания ВПР  2018 год</w:t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Химия. ВПР. 8 класс. Практикум по выполнению типовых заданий. 10 вариантов. – М.: Издательство «Экзамен», 2018.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Химия. ВПР. 8 класс. Практикум по выполнению типовых заданий. 10 вариантов. – М.: Издательство «Экзамен», 2018.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Медведев</w:t>
      </w:r>
      <w:r w:rsidRPr="00B6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Ю.Н. Химия: Всероссийская проверочная работа: 11 класс: типовые задания. ФГОС</w:t>
      </w:r>
      <w:r w:rsidRPr="00B637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Ю.Н.Медведев. – М.:</w:t>
      </w:r>
      <w:r w:rsidRPr="00B6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«Экзамен», 2017.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Дроздов А.А. Всероссийская проверочная работа. Химия: 11 класс: 10 вариантов. Типовые задания. ФГОС </w:t>
      </w:r>
      <w:r w:rsidRPr="007779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А.А.Дроздов.- М.: Издательство «Экзамен», 2017.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Дроздов А.А. Всероссийская проверочная работа. Химия: 11 класс: 20 вариантов. Типовые задания. ФГОС </w:t>
      </w:r>
      <w:r w:rsidRPr="006E239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А.А.Дроздов.- М.: Издательство «Экзамен», 2017.</w:t>
      </w: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Результаты ЕГЭ по химии в ЛО в 2018 году</w:t>
      </w:r>
    </w:p>
    <w:p w:rsidR="00441C67" w:rsidRPr="00D3484A" w:rsidRDefault="00441C67" w:rsidP="00441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(на основе «Статистико-аналитического отчета о результатах ЕГЭ в ЛО в 2018 году» </w:t>
      </w:r>
      <w:r w:rsidR="00D3484A"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Шаталова МА</w:t>
      </w:r>
      <w:r w:rsid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="00D3484A"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дпн</w:t>
      </w:r>
      <w:proofErr w:type="spellEnd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профессора, зав.кафедрой ЕГО, проректора</w:t>
      </w:r>
      <w:r w:rsid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ЛОИРО</w:t>
      </w:r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Реализованные в Ленинградской области варианты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соответствовали Спецификации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ЕГЭ по химии в 2018 году и состояли из 2-х частей заданий.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1-я во всех вариантах состояла из 29 тестовых заданий. Из них 21 задание заявлено как задание базового уровня сложности, а 8 заданий – как задания повышенного уровня сложности. При этом задания как базового, так и повышенного уровней сложности в работах текущего года были представлены заданиями с множественным выбором ответа.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2-я во всех вариантах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представлена 6-ю заданиями с открытым ответом, относящимся к заданиям высокого уровня сложности. При этом изменился формат задания 30, а также введено новое задание (31), связанное с заданием 30 единым контекстом, что существенно повысило уровень их сложности для сдающих ЕГЭ по химии. Структура и содержательная направленность остальных заданий не претерпели изменений в сравнении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по химии в 2017 году. Однако уровень сложности ряда заданий, предложенных в 2018 году, оказался ещё более высоким.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это характерно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заданий 34 и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Так, условие расчётной задачи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включало протекание химической реакции на электродах (электролиз), что потребовало от выпускников проведения части более сложных расчётов (</w:t>
      </w:r>
      <w:r w:rsidRPr="005E6C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истории ЕГЭ по химии).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задании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задач вновь были усложнены в части составления структурной формулы органического соединения и написания уравнения химической реакции с его участием в качестве её реагента или продукта.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ОТДЕЛЬНЫХ ЗАДАНИЙ ИЛИ ГРУПП ЗАДАНИЙ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следует из статистической отчётности, ЕГЭ по химии в 2018 году было проверено 551 работа выпускников из общеобразовательных организаций Ленинградской области. Общие количественные результаты выполнения ими заданий предложенных вариантов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таблице 11 - А.</w:t>
      </w:r>
    </w:p>
    <w:p w:rsidR="00441C67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выполнения заданий экзаменационных работ ЕГЭ по химии выпускниками 11-х классов Ленинградской области в 2018 году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p w:rsidR="00441C67" w:rsidRPr="001C0F6E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</w:p>
    <w:tbl>
      <w:tblPr>
        <w:tblW w:w="9856" w:type="dxa"/>
        <w:tblInd w:w="-34" w:type="dxa"/>
        <w:tblLayout w:type="fixed"/>
        <w:tblLook w:val="0000"/>
      </w:tblPr>
      <w:tblGrid>
        <w:gridCol w:w="1298"/>
        <w:gridCol w:w="546"/>
        <w:gridCol w:w="1291"/>
        <w:gridCol w:w="1500"/>
        <w:gridCol w:w="1197"/>
        <w:gridCol w:w="1541"/>
        <w:gridCol w:w="1275"/>
        <w:gridCol w:w="1208"/>
      </w:tblGrid>
      <w:tr w:rsidR="00441C67" w:rsidTr="00441C67">
        <w:trPr>
          <w:trHeight w:val="640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работе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 по региону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 экзаменуемых, набравших максимальный балл за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1C67" w:rsidTr="00441C67">
        <w:trPr>
          <w:trHeight w:val="1100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не преодолевших порог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60-79 т.б.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80-100 т.б.</w:t>
            </w:r>
          </w:p>
        </w:tc>
      </w:tr>
      <w:tr w:rsidR="00441C67" w:rsidTr="00441C67">
        <w:trPr>
          <w:trHeight w:val="20"/>
        </w:trPr>
        <w:tc>
          <w:tcPr>
            <w:tcW w:w="98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1.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спецификации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ЕГЭ по химии в 2018 году.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Pr="008F0EE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96,30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90,12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79,01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90,12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92,59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84,48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41C67" w:rsidTr="00441C67">
        <w:trPr>
          <w:trHeight w:val="20"/>
        </w:trPr>
        <w:tc>
          <w:tcPr>
            <w:tcW w:w="98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2.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спецификации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ЕГЭ по химии в 2018 году.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79,01</w:t>
            </w:r>
          </w:p>
        </w:tc>
      </w:tr>
      <w:tr w:rsidR="00441C67" w:rsidTr="00441C67">
        <w:trPr>
          <w:trHeight w:val="20"/>
        </w:trPr>
        <w:tc>
          <w:tcPr>
            <w:tcW w:w="985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C67" w:rsidTr="00441C67">
        <w:trPr>
          <w:trHeight w:val="20"/>
        </w:trPr>
        <w:tc>
          <w:tcPr>
            <w:tcW w:w="184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Объём выборки</w:t>
            </w: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всего (кол-во чел.):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Pr="008F0EE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41C67" w:rsidTr="00441C67">
        <w:trPr>
          <w:trHeight w:val="20"/>
        </w:trPr>
        <w:tc>
          <w:tcPr>
            <w:tcW w:w="18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% от общего кол-ва человек: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69,96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89,75</w:t>
            </w:r>
          </w:p>
        </w:tc>
      </w:tr>
    </w:tbl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Приведённые в таблице  значения %-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того или иного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задания являются количественными показателями, в определённой степени характеризующими качество обучения химии в Ленинградской области. Однако любой количественный показатель должен быть дополнен качественными параметрами.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этим для обеспечения единства количественной и качественной интерпретации полученных данных мы будем использовать следующую шкалу: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417"/>
        <w:gridCol w:w="1418"/>
        <w:gridCol w:w="1559"/>
        <w:gridCol w:w="1701"/>
        <w:gridCol w:w="1383"/>
      </w:tblGrid>
      <w:tr w:rsidR="00441C67" w:rsidTr="00441C67">
        <w:tc>
          <w:tcPr>
            <w:tcW w:w="209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8" w:type="dxa"/>
            <w:gridSpan w:val="5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 задания / блока заданий</w:t>
            </w:r>
          </w:p>
        </w:tc>
      </w:tr>
      <w:tr w:rsidR="00441C67" w:rsidTr="00441C67">
        <w:tc>
          <w:tcPr>
            <w:tcW w:w="209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Диапазон значений</w:t>
            </w:r>
          </w:p>
        </w:tc>
        <w:tc>
          <w:tcPr>
            <w:tcW w:w="1417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0,0-19,9</w:t>
            </w:r>
          </w:p>
        </w:tc>
        <w:tc>
          <w:tcPr>
            <w:tcW w:w="1418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20,0-39,9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40,0-59,9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60,0-79,9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80,0-100,0</w:t>
            </w:r>
          </w:p>
        </w:tc>
      </w:tr>
      <w:tr w:rsidR="00441C67" w:rsidTr="00441C67">
        <w:tc>
          <w:tcPr>
            <w:tcW w:w="2093" w:type="dxa"/>
            <w:vMerge w:val="restart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(Н)</w:t>
            </w:r>
          </w:p>
        </w:tc>
        <w:tc>
          <w:tcPr>
            <w:tcW w:w="1418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среднего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(Ср)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среднего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</w:tc>
      </w:tr>
      <w:tr w:rsidR="00441C67" w:rsidTr="00441C67">
        <w:tc>
          <w:tcPr>
            <w:tcW w:w="2093" w:type="dxa"/>
            <w:vMerge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допустимый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достаточный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высокий</w:t>
            </w:r>
          </w:p>
        </w:tc>
      </w:tr>
      <w:tr w:rsidR="00441C67" w:rsidTr="00441C67">
        <w:tc>
          <w:tcPr>
            <w:tcW w:w="209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изложенного выше рассмотрим результаты выполнения заданий по выделенным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I. Важнейшие понятия и законы химии. ПЗ и ПСХЭ Д.И. Менделеева. Строение атома, строение вещества.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первые четыре задания экзаменационной работы базового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%-та выполнения – 67,20).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83,42;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70,63;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59,10;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55,68;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свидетельствую о снижении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4,15%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Наиболее заметное ухудшение результатов можно отметить для заданий 1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−23,92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2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−15,17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которые традиционно давали наиболее высокие результаты. Наряду с этим улучшились результаты выполнения заданий 3 и, особенно, 4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+20,2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1 требовало от выпускников выбрать два химических элемента, атомы которых имеют в основном состоянии одинаковую конфигурацию внешнего энергетического уровня. Очевидно, что это должны быть элементы одной подгруппы. По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формулировке данное задание соответствует базовому уровню сложности и не должно было вызвать серьёзных затруднений.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 этого же варианта требовало выбрать три элемента-неметалла и расположить их в порядке уменьшения радиуса их атомов. В числе этих элементов два элемента располагаются во 2-м периоде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2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2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подгруппы), а один – в 4-м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подгруппа). Такая подборка элементов могла вызвать определённые затруднения у части выпускников. В целом условие задания соответствует базовому уровню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II. Химические реакции и закономерности их протекания.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3 задания.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19, 20;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24.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%-та выполнения – 65,04).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83,24;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60,18;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51,71;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+3,34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Данный прирост обеспечивается существенным улучшением результатов выполнения задания 20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+19,14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Остальные задания блока дали отрицательную динамику %-та выполнения.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19 требовало от выпускников выбрать два типа химической реакции, к которым можно отнести взаимодействие раствора карбоната натрия и серной кислоты. По своей формулировке данное задание соответствует базовому уровню сложности и не должно было вызвать особых затруднений у сдающих экзамен. Однако, затруднения в выборе ответов могли возникнуть в том случае, если ученик, по какой-либо причине, не учёл, что в момент образования в растворе угольная кислота распадается на воду и углекислый газ. Тогда появляется третий гипотетический вариант ответа (реакция </w:t>
      </w:r>
      <w:r w:rsidRPr="001C65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обратимая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который, конечно же, является неверным.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24 повышенного уровня сложности этого же варианта требовало соотнести характер изменения условий протекания обратимого процесса и соответствующего ему направления смещения химического равновесия. Один из изменяемых параметров – д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обозначается и рассматривается детально. Нередко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давление предлагается рассматривать как фактор, влияющий на смещение химического равновесия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 обратимых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участвуют вещества, находящиеся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исключительно в газообразном состоянии.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могло вызвать определённые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атруднения у части выпускников.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III. ОВР.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3 задания.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 w:rsidRPr="00CF5A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21;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22;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30.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%-та выполнения – 67,20).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89,01;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78,38;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34,23;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среднего.</w:t>
      </w:r>
    </w:p>
    <w:p w:rsidR="00441C67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свидетельствую о снижении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−2,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Отрицательная динамика по блоку в целом обеспечивается ухудшением результатов выполнения задания 21 и, особенно, задания 30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−20,07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Это, вероятно, связано с изменением формата задания 30, что привело к его существенному усложнению для обучающихся. Наряду с этим, отрицательная динамика выполнения заданий 21 и 30 частично была компенсирована улучшением результатов выполнения задания 22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+16,98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21 требовало от выпускников соотнести уравнение ОВР и степень окисления восстановителя в этой реакции. По своей формулировке данное задание соответствует базовому уровню сложности и не должно было вызвать серьёзных затруднений у обучающихся. Однако некоторые сложности при выполнении задания могли возникнуть при невнимательном прочтении условия задания и, как следствие этого, в силу недопонимания его сути.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30 этого же варианта относится к заданиям высокого уровня сложности. В 2018 году был изменён его формат – ученикам необходимо было самим выбрать вещества и предложенного перечня и составить с их участием уравнение ОВР. В этом, на наш взгляд, и заключается основная причина сложностей, возникших при его выполнении.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IV. Растворы. ТЭД.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3 задания.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27;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23;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 w:rsidRPr="006D6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31.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%-та выполнения – 62,16).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75,14;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56,04;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55,32;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также свидетельствую о снижении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−4,8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Отрицательная динамика по блоку в целом обеспечивается ухудшением результатов выполнения задания 23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−5,68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результатами выполнения нового задания – задания 31, введённого в структуру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2018 году. Положительная динамика выполнения задания 27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+2,24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лишь частично смогла компенсировать результаты выполнения остальных заданий блока.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23 требовало от обучающихся соотнести формулу соли и реакцию среды её водного раствора. По своей формулировке данное задание соответствует повышенному уровню сложности, что и определяет возможные затруднения при его выполнении.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31 является новым и связано единым контекстом с заданием 30. Задание 31 относится к заданиям высокого уровня сложности, поскольку требовало от выпускников самостоятельно выбрать вещества из списка и составить с их участием уравнение реакции ионного обмена. Кроме того, дополнительные сложности при выполнении этого задания могли быть связаны с неоднозначным толкованием сути реакций ионного обмена во многих школьных учебниках и в пособиях для учащихся.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V. Неорганическая химия.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8 заданий.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5, 6, 7, 10;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8,9, 25;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32.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11-А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%-та выполнения – 57,29).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92,43;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79, 10;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67,21;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58,74;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50,99;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43,60;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40,54;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25,77;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Данные диаграммы также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+9,99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лишь два задания блока – 6 и 10, дали незначительную отрицательную динамику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−0,89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−6,36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По остальным заданиям блока наблюдается положительная динамика результатов выполнения. Особенно заметна она у заданий 5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+10,03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7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+23,50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32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+16,32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При этом особенно примечательным является прирост %-та правильного выполнения задания 32 как задания высокого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6 требовало от обучающихся выбрать с какими из предложенных веществ вступит в реакцию кальций. По своей формулировке данное задание соответствует базовому уровню сложности и не должно было вызвать особых затруднений.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 задания 10 этого же варианта, на наш взгляд, превышает заявленный базовый уровень сложности. Так, в задании предложена схема превращений с неизвестными веществами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 надо определить, учитывая исходный и иные реагенты, а также условия протекания реакций. Первая из зашифрованных реакций относится к реакциям электролиза. Последний переход связан со взаимодействием хлорида фосфора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избытком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кальция. Полагаем, что хорошее знание этих процессов соответствует более высокому уровню подготовки.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VI. Органическая химия.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10 заданий.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11-15, 18;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16, 17, 25;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33.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11-А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%-та выполнения – 54, 41).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73,15;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70,27;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69,73;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66,13;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61,62;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51,17;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41,98;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средний %-т полного правильного выполнения – 40,54; уровень освоения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30,99;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Данные диаграммы также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+7,41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лишь три задания из десяти заданий блока – 11, 16 и 18, дали отрицательную динамику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−18,05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−12,84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−1,78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По остальным заданиям блока наблюдается положительная динамика результатов выполнения. Особенно заметна она у заданий 12, 13 и 14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+31,93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+27,57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+20,53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11 и 16 скорее соответствуют заявленным уровням сложности – </w:t>
      </w:r>
      <w:r w:rsidRPr="00386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86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соответственно. В отличие от них условие задания 18 этого же варианта, на наш взгляд, превышает заявленный базовый уровень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задании 18 предложена схема превращений с неизвестными веществами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 надо определить, учитывая исходный и иные реагенты, а также условия протекания реакций. Для этого выпускники должны на достаточном хорошем уровне разбираться в механизмах протекания реакций, уметь по условиям и сопутствующим реагентам прогнозировать направление и продукты протекающих превращений.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VII. В химической лаборатории. Производство и применение веществ и материалов.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данному блоку было отнесено 1 задание </w:t>
      </w:r>
      <w:r w:rsidRPr="00C80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Итоги его выполнения – средний % выполнения 50,99 –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уровне освоения соответствующих элементов содержания.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также свидетельствую об улучшении результатов выполнения задания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+11,79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VIII. Химические расчёты.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5 заданий.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27, 28, 29;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34, 35.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11-А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%-та выполнения – 49,51).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75,14;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68,65;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62,52;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30,99;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%-т полного правильного выполнения – 10,27;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низкий.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также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+5,11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лишь одно задание из блока – 28, дало отрицательную динамику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−9,68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 w:rsidRPr="000C45A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остальным заданиям блока наблюдается положительная динамика результатов выполнения. Особенно заметна она у задания 34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+26,29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значимо, учитывая, что это задание высокого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28 содержит задачу, условие которой требует нахождения объёма кислорода, необходимого для полного сгорания заданного объёма пропана (н.у.). 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Приведённые данные по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говорить о качестве изучения отдельных разделов / тем школьного курса химии. Однако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суждения о качестве обучения химии в целом имеет смысл обратиться к данным о характере выполнения заданий разного уровня сложности по группам и вместе по всей работе. Эти сведения представлены в следующей таблице.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выполнения выпускниками 11-х классов Ленинградской области заданий разного уровня сложности в 2018 году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(без учёта частично правильных ответов)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p w:rsidR="00441C67" w:rsidRPr="001C0F6E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11-Б</w:t>
      </w:r>
    </w:p>
    <w:tbl>
      <w:tblPr>
        <w:tblStyle w:val="a6"/>
        <w:tblW w:w="0" w:type="auto"/>
        <w:tblLook w:val="04A0"/>
      </w:tblPr>
      <w:tblGrid>
        <w:gridCol w:w="1271"/>
        <w:gridCol w:w="1843"/>
        <w:gridCol w:w="1557"/>
        <w:gridCol w:w="1558"/>
        <w:gridCol w:w="1558"/>
        <w:gridCol w:w="1558"/>
      </w:tblGrid>
      <w:tr w:rsidR="00441C67" w:rsidRPr="00502AB6" w:rsidTr="00441C67">
        <w:tc>
          <w:tcPr>
            <w:tcW w:w="3114" w:type="dxa"/>
            <w:gridSpan w:val="2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6231" w:type="dxa"/>
            <w:gridSpan w:val="4"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полного правильного выполнения</w:t>
            </w:r>
          </w:p>
        </w:tc>
      </w:tr>
      <w:tr w:rsidR="00441C67" w:rsidRPr="00502AB6" w:rsidTr="00441C67">
        <w:tc>
          <w:tcPr>
            <w:tcW w:w="3114" w:type="dxa"/>
            <w:gridSpan w:val="2"/>
            <w:vMerge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среднее значение</w:t>
            </w:r>
          </w:p>
        </w:tc>
        <w:tc>
          <w:tcPr>
            <w:tcW w:w="4674" w:type="dxa"/>
            <w:gridSpan w:val="3"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 в группах</w:t>
            </w:r>
          </w:p>
        </w:tc>
      </w:tr>
      <w:tr w:rsidR="00441C67" w:rsidRPr="00502AB6" w:rsidTr="00441C67">
        <w:tc>
          <w:tcPr>
            <w:tcW w:w="3114" w:type="dxa"/>
            <w:gridSpan w:val="2"/>
            <w:vMerge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0-35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60-79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80-100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80,91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02AB6" w:rsidRDefault="00441C67" w:rsidP="00441C6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освоения: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92,90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02AB6" w:rsidRDefault="00441C67" w:rsidP="00441C6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основание: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33,76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80,04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02AB6" w:rsidRDefault="00441C67" w:rsidP="00441C6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основание: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Pr="00EE2845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50703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группам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49,79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58,14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89,39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50703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(без учёта частично правильных ответов) по блокам и по работе в целом в 2017-2018 годах отражают графики 1-4.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1. Общая динамика результатов выполнения</w:t>
      </w: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(все обучающиеся).</w:t>
      </w:r>
    </w:p>
    <w:p w:rsidR="00D3484A" w:rsidRDefault="00D3484A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D3484A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2. Динамика результатов выполнения   заданий обучающимися,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0-35 баллов.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3. Динамика результатов выполнения</w:t>
      </w: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обучающимися,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60-79 баллов.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4. Динамика результатов выполнения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обучающимися,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80-100 баллов.</w:t>
      </w: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Графики 1-4 наглядно иллюстрируют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положительную динамику результатов выполнения экзаменационной работы ЕГЭ по химии в 2018 году в сравнении с 2017 годом. Так, на всех графиках можно отметить увеличение среднего балла выполнения заданий всех уровней сложности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целом по работе)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Примечательно также то, что во всех группах обучающихся наблюдается увеличение среднего балла выполнения заданий высокого уровня сложности, даже у тех из них, кто набрал от 0 до 35 баллов. Для этой же группы выпускников можно отметить увеличение среднего балла и за выполнение заданий базового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для более полного анализа результатов интерес представляют и данные, учитывающие частично правильные ответы выпускников на ряд заданий экзаменационной работы. Они, в сравнении с данными таблицы 11-Б, представлены в таблице 11-В.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11-В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выполнения выпускниками 11-х классов Ленинградской области заданий разного уровня сложности в 2018 году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 учётом и без учёта частично правильных ответов)</w:t>
      </w:r>
    </w:p>
    <w:p w:rsidR="00441C67" w:rsidRPr="007E20B4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29"/>
        <w:gridCol w:w="1701"/>
        <w:gridCol w:w="2410"/>
        <w:gridCol w:w="2410"/>
        <w:gridCol w:w="1695"/>
      </w:tblGrid>
      <w:tr w:rsidR="00441C67" w:rsidRPr="007E20B4" w:rsidTr="00441C67">
        <w:tc>
          <w:tcPr>
            <w:tcW w:w="2830" w:type="dxa"/>
            <w:gridSpan w:val="2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заданий</w:t>
            </w:r>
          </w:p>
        </w:tc>
        <w:tc>
          <w:tcPr>
            <w:tcW w:w="4820" w:type="dxa"/>
            <w:gridSpan w:val="2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 % выполнения</w:t>
            </w:r>
          </w:p>
        </w:tc>
        <w:tc>
          <w:tcPr>
            <w:tcW w:w="1695" w:type="dxa"/>
            <w:vMerge w:val="restart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учёта частично правильных ответов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учётом частично правильных ответов</w:t>
            </w:r>
          </w:p>
        </w:tc>
        <w:tc>
          <w:tcPr>
            <w:tcW w:w="1695" w:type="dxa"/>
            <w:vMerge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70,15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вСр-вСр</w:t>
            </w:r>
            <w:proofErr w:type="spellEnd"/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62,18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Ср-вСр</w:t>
            </w:r>
            <w:proofErr w:type="spellEnd"/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нСр-Ср</w:t>
            </w:r>
            <w:proofErr w:type="spellEnd"/>
          </w:p>
        </w:tc>
      </w:tr>
      <w:tr w:rsidR="00441C67" w:rsidRPr="007E20B4" w:rsidTr="00441C67">
        <w:tc>
          <w:tcPr>
            <w:tcW w:w="2830" w:type="dxa"/>
            <w:gridSpan w:val="2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группам заданий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49,79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Ср-Ср</w:t>
            </w:r>
          </w:p>
        </w:tc>
      </w:tr>
    </w:tbl>
    <w:p w:rsidR="00441C67" w:rsidRPr="007E20B4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Динамику результатов выполнения заданий с учётом частично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правильных ответов по блокам и по работе в целом в 2017-2018 годах отражает график 5.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с учётом частично правильных ответов по блокам и по работе в целом в 2017-2018 годах отражает график 5.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1C67" w:rsidRPr="00F8551D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1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5. Общая динамика результатов выполнения</w:t>
      </w:r>
    </w:p>
    <w:p w:rsidR="00441C67" w:rsidRPr="00F8551D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с учётом частично правильных ответов (все обучающиеся).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Pr="00134CAB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5 наглядно иллюстрирует, что частично правильные ответы, данные выпускниками в 2018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заметно положительно сказались лишь на среднем результате выполнения заданий базового уровня сложности. По остальным группам заданий, а также по работе в целом их влияние незначительно.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анализируя данные, учитывающие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только полные правильные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предложенные задания (табл. 11-Б), можно сделать вывод о том, что наибольший вклад в результаты выполнения экзаменационной работы ЕГЭ по химии приходится на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выше среднего или 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Несколько ниже в общем результате доля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средн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ий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до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пустимый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 этом влияние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сложности проявляется на уровне ниже среднего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уровень освоения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среднего или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группы экзаменуемых, набравших от 80 до 100 баллов отмечается равномерно высокий вклад всех групп заданий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уровней сложности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уровень освоения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то же время, согласно данным таблицы 11, объём данной группы составил в 2018 году 14,7% от общего числа выпускников, сдававших ЕГЭ по химии (в 2017 году он составлял 11,9%). Примечательно, что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этот показатель соотносим с %-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программ углублённого уровня обучения химии (немногим меньше)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реализуемых в Ленинградской области.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11-В подтверждают основной вклад в общий результат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выше среднего или 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приближают к нему «вес»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выше среднего или 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Повышается и доля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сложности, приближая их 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уровню освоения соответствующего программного материала.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средние значения %-та выполнения всех групп заданий с учётом (59,38%) и без учёта (49,79%) частично правильных ответов попадают в обозначенный ранее диапазон значений «40,0%-59,9%», что соответствует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уровню освоения программного материала.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Рассмотренные данные в комплексе свидетельствуют об </w:t>
      </w:r>
      <w:r w:rsidRPr="00B71D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улучшении результатов ЕГЭ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химии</w:t>
      </w:r>
      <w:r w:rsidRPr="00B71D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2018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сравнении с 2017 годом и об их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соответствии преобладающему в общеобразовательных организациях Ленинградской области базовому уровню обучения 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даже,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их превышении по целому ряду 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также позволяет предположить, что для подготовки выпускников к ЕГЭ в общеобразовательных организациях Ленинградской области, как и раньше, был задействован не только потенциал урочной работы по предмету, но и иные имеющиеся возможности: ресурсы внеурочной деятельности, дополнительного образования детей, сетевого взаимодействия и др. (факультативы, дополнительные занятия, индивидуальные / групповые консультации и т.д.).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Основные УМК по предмету, которые использовались в ОО в 2017-2018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12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6945"/>
      </w:tblGrid>
      <w:tr w:rsidR="00441C67" w:rsidTr="00441C67">
        <w:tc>
          <w:tcPr>
            <w:tcW w:w="2694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УМК</w:t>
            </w:r>
          </w:p>
        </w:tc>
        <w:tc>
          <w:tcPr>
            <w:tcW w:w="6945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 процент ОО, в которых использовался данный УМК</w:t>
            </w:r>
          </w:p>
        </w:tc>
      </w:tr>
      <w:tr w:rsidR="00441C67" w:rsidTr="00441C67">
        <w:tc>
          <w:tcPr>
            <w:tcW w:w="2694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УМК 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(указать авторов, название, год издания)</w:t>
            </w:r>
          </w:p>
        </w:tc>
        <w:tc>
          <w:tcPr>
            <w:tcW w:w="6945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 по химии под редакцией О.С. Габриеляна,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 по химии под редакцией Н.Е. Кузнецовой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 другие УМК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41C67" w:rsidTr="00441C67">
        <w:trPr>
          <w:trHeight w:val="1080"/>
        </w:trPr>
        <w:tc>
          <w:tcPr>
            <w:tcW w:w="2694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пособия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(указать авторов, название, год издания)</w:t>
            </w:r>
          </w:p>
        </w:tc>
        <w:tc>
          <w:tcPr>
            <w:tcW w:w="6945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разных авторов для подготовки обучающихся к ЕГЭ по химии.</w:t>
            </w:r>
          </w:p>
        </w:tc>
      </w:tr>
    </w:tbl>
    <w:p w:rsidR="00441C67" w:rsidRPr="00134CAB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1E" w:rsidRDefault="00187F1E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1E" w:rsidRDefault="00187F1E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1E" w:rsidRDefault="00187F1E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Pr="00187F1E" w:rsidRDefault="00187F1E" w:rsidP="00A367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4253"/>
        </w:tabs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F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Результаты ОГЭ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ЛО в</w:t>
      </w:r>
      <w:r w:rsidRPr="00187F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2018 году</w:t>
      </w:r>
    </w:p>
    <w:p w:rsidR="00441C67" w:rsidRPr="00242FA9" w:rsidRDefault="00441C67" w:rsidP="0044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A9">
        <w:rPr>
          <w:rFonts w:ascii="Times New Roman" w:hAnsi="Times New Roman" w:cs="Times New Roman"/>
          <w:b/>
          <w:sz w:val="24"/>
          <w:szCs w:val="24"/>
        </w:rPr>
        <w:t>ПРЕДВАРИТЕЛЬНЫЕ ИТОГИ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A9">
        <w:rPr>
          <w:rFonts w:ascii="Times New Roman" w:hAnsi="Times New Roman" w:cs="Times New Roman"/>
          <w:b/>
          <w:sz w:val="24"/>
          <w:szCs w:val="24"/>
        </w:rPr>
        <w:t xml:space="preserve"> в ЛО в 2018 году</w:t>
      </w:r>
    </w:p>
    <w:tbl>
      <w:tblPr>
        <w:tblW w:w="9560" w:type="dxa"/>
        <w:tblInd w:w="93" w:type="dxa"/>
        <w:tblLook w:val="04A0"/>
      </w:tblPr>
      <w:tblGrid>
        <w:gridCol w:w="960"/>
        <w:gridCol w:w="2840"/>
        <w:gridCol w:w="960"/>
        <w:gridCol w:w="960"/>
        <w:gridCol w:w="960"/>
        <w:gridCol w:w="960"/>
        <w:gridCol w:w="960"/>
        <w:gridCol w:w="960"/>
      </w:tblGrid>
      <w:tr w:rsidR="00441C67" w:rsidRPr="00242FA9" w:rsidTr="00441C6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отметка</w:t>
            </w:r>
          </w:p>
        </w:tc>
      </w:tr>
      <w:tr w:rsidR="00441C67" w:rsidRPr="00242FA9" w:rsidTr="00441C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441C67" w:rsidRPr="00242FA9" w:rsidTr="00441C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</w:t>
            </w:r>
          </w:p>
        </w:tc>
      </w:tr>
    </w:tbl>
    <w:p w:rsidR="00441C67" w:rsidRDefault="00441C67" w:rsidP="00441C67">
      <w:pPr>
        <w:rPr>
          <w:rFonts w:ascii="Times New Roman" w:hAnsi="Times New Roman" w:cs="Times New Roman"/>
          <w:b/>
          <w:sz w:val="24"/>
          <w:szCs w:val="24"/>
        </w:rPr>
      </w:pPr>
    </w:p>
    <w:p w:rsidR="00441C67" w:rsidRDefault="00441C67" w:rsidP="0044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AD">
        <w:rPr>
          <w:rFonts w:ascii="Times New Roman" w:hAnsi="Times New Roman" w:cs="Times New Roman"/>
          <w:b/>
          <w:sz w:val="24"/>
          <w:szCs w:val="24"/>
        </w:rPr>
        <w:t>Результаты ОГЭ по химии  в школах Ленинградской области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222AD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6B0B84">
        <w:rPr>
          <w:rFonts w:ascii="Times New Roman" w:hAnsi="Times New Roman" w:cs="Times New Roman"/>
          <w:b/>
          <w:sz w:val="24"/>
          <w:szCs w:val="24"/>
        </w:rPr>
        <w:t xml:space="preserve"> в сравнении с 2017 годом</w:t>
      </w:r>
    </w:p>
    <w:p w:rsidR="00441C67" w:rsidRPr="00BF4D0D" w:rsidRDefault="00441C67" w:rsidP="00441C67">
      <w:pPr>
        <w:rPr>
          <w:rFonts w:ascii="Times New Roman" w:hAnsi="Times New Roman" w:cs="Times New Roman"/>
          <w:sz w:val="24"/>
          <w:szCs w:val="24"/>
        </w:rPr>
      </w:pPr>
      <w:r w:rsidRPr="00BF4D0D">
        <w:rPr>
          <w:rFonts w:ascii="Times New Roman" w:hAnsi="Times New Roman" w:cs="Times New Roman"/>
          <w:sz w:val="24"/>
          <w:szCs w:val="24"/>
        </w:rPr>
        <w:t>Задания базового уровня</w:t>
      </w:r>
    </w:p>
    <w:tbl>
      <w:tblPr>
        <w:tblStyle w:val="a6"/>
        <w:tblW w:w="0" w:type="auto"/>
        <w:tblLook w:val="04A0"/>
      </w:tblPr>
      <w:tblGrid>
        <w:gridCol w:w="2366"/>
        <w:gridCol w:w="3418"/>
        <w:gridCol w:w="3787"/>
      </w:tblGrid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418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2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2018</w:t>
            </w:r>
          </w:p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 балл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</w:pPr>
            <w:r w:rsidRPr="0082131F">
              <w:rPr>
                <w:lang w:val="en-US"/>
              </w:rPr>
              <w:t>1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 w:rsidRPr="0057040E">
              <w:rPr>
                <w:color w:val="C00000"/>
                <w:sz w:val="24"/>
                <w:szCs w:val="24"/>
                <w:lang w:val="en-US"/>
              </w:rPr>
              <w:t>9</w:t>
            </w:r>
            <w:r>
              <w:rPr>
                <w:color w:val="C00000"/>
                <w:sz w:val="24"/>
                <w:szCs w:val="24"/>
              </w:rPr>
              <w:t>4</w:t>
            </w:r>
            <w:r w:rsidRPr="0057040E">
              <w:rPr>
                <w:color w:val="C00000"/>
                <w:sz w:val="24"/>
                <w:szCs w:val="24"/>
              </w:rPr>
              <w:t xml:space="preserve"> %  </w:t>
            </w:r>
          </w:p>
        </w:tc>
        <w:tc>
          <w:tcPr>
            <w:tcW w:w="3787" w:type="dxa"/>
          </w:tcPr>
          <w:p w:rsidR="00441C67" w:rsidRPr="002B4C9F" w:rsidRDefault="00441C67" w:rsidP="00441C67">
            <w:pPr>
              <w:jc w:val="center"/>
              <w:rPr>
                <w:sz w:val="24"/>
                <w:szCs w:val="24"/>
              </w:rPr>
            </w:pPr>
            <w:r w:rsidRPr="002B4C9F">
              <w:rPr>
                <w:sz w:val="24"/>
                <w:szCs w:val="24"/>
                <w:lang w:val="en-US"/>
              </w:rPr>
              <w:t>94%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90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   </w:t>
            </w:r>
          </w:p>
        </w:tc>
        <w:tc>
          <w:tcPr>
            <w:tcW w:w="3787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90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82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82%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57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81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8</w:t>
            </w:r>
            <w:r>
              <w:rPr>
                <w:color w:val="C00000"/>
                <w:sz w:val="24"/>
                <w:szCs w:val="24"/>
              </w:rPr>
              <w:t>3</w:t>
            </w:r>
            <w:r w:rsidRPr="0057040E">
              <w:rPr>
                <w:color w:val="C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66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77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70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72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73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71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92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41C67" w:rsidRDefault="00441C67" w:rsidP="00441C67">
      <w:pPr>
        <w:rPr>
          <w:rFonts w:ascii="Times New Roman" w:hAnsi="Times New Roman" w:cs="Times New Roman"/>
          <w:sz w:val="24"/>
          <w:szCs w:val="24"/>
        </w:rPr>
      </w:pPr>
    </w:p>
    <w:p w:rsidR="00441C67" w:rsidRPr="00BF4D0D" w:rsidRDefault="00441C67" w:rsidP="00441C67">
      <w:pPr>
        <w:rPr>
          <w:rFonts w:ascii="Times New Roman" w:hAnsi="Times New Roman" w:cs="Times New Roman"/>
          <w:sz w:val="24"/>
          <w:szCs w:val="24"/>
        </w:rPr>
      </w:pPr>
      <w:r w:rsidRPr="00BF4D0D">
        <w:rPr>
          <w:rFonts w:ascii="Times New Roman" w:hAnsi="Times New Roman" w:cs="Times New Roman"/>
          <w:sz w:val="24"/>
          <w:szCs w:val="24"/>
        </w:rPr>
        <w:t xml:space="preserve">Задания повышенного и высокого уровня </w:t>
      </w:r>
    </w:p>
    <w:tbl>
      <w:tblPr>
        <w:tblStyle w:val="a6"/>
        <w:tblW w:w="0" w:type="auto"/>
        <w:tblLook w:val="04A0"/>
      </w:tblPr>
      <w:tblGrid>
        <w:gridCol w:w="618"/>
        <w:gridCol w:w="964"/>
        <w:gridCol w:w="656"/>
        <w:gridCol w:w="875"/>
        <w:gridCol w:w="823"/>
        <w:gridCol w:w="783"/>
        <w:gridCol w:w="691"/>
        <w:gridCol w:w="770"/>
        <w:gridCol w:w="692"/>
        <w:gridCol w:w="670"/>
        <w:gridCol w:w="692"/>
        <w:gridCol w:w="670"/>
        <w:gridCol w:w="667"/>
      </w:tblGrid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964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0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бал.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0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875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1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бал.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1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783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2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бал.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бал.</w:t>
            </w:r>
          </w:p>
        </w:tc>
        <w:tc>
          <w:tcPr>
            <w:tcW w:w="770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 бал.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3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670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4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 бал.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4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бал.</w:t>
            </w:r>
          </w:p>
        </w:tc>
        <w:tc>
          <w:tcPr>
            <w:tcW w:w="670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5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 бал.</w:t>
            </w: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5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бал.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</w:pPr>
            <w:r w:rsidRPr="0057040E">
              <w:t>16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3%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33%</w:t>
            </w:r>
          </w:p>
        </w:tc>
        <w:tc>
          <w:tcPr>
            <w:tcW w:w="783" w:type="dxa"/>
          </w:tcPr>
          <w:p w:rsidR="00441C67" w:rsidRPr="00D05DCB" w:rsidRDefault="00D05DCB" w:rsidP="00441C67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68%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64%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14%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50%</w:t>
            </w:r>
          </w:p>
        </w:tc>
        <w:tc>
          <w:tcPr>
            <w:tcW w:w="783" w:type="dxa"/>
          </w:tcPr>
          <w:p w:rsidR="00441C67" w:rsidRPr="00D05DCB" w:rsidRDefault="00D05DCB" w:rsidP="00441C67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37%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36%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37%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39%</w:t>
            </w:r>
          </w:p>
        </w:tc>
        <w:tc>
          <w:tcPr>
            <w:tcW w:w="783" w:type="dxa"/>
          </w:tcPr>
          <w:p w:rsidR="00441C67" w:rsidRPr="00D05DCB" w:rsidRDefault="00D05DCB" w:rsidP="00D05DCB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56%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24%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color w:val="C00000"/>
              </w:rPr>
              <w:t>93%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32%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27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32%</w:t>
            </w:r>
          </w:p>
        </w:tc>
        <w:tc>
          <w:tcPr>
            <w:tcW w:w="783" w:type="dxa"/>
          </w:tcPr>
          <w:p w:rsidR="00441C67" w:rsidRPr="00D05DCB" w:rsidRDefault="00D05DCB" w:rsidP="00D05DCB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39%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36%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8%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10%</w:t>
            </w:r>
          </w:p>
        </w:tc>
        <w:tc>
          <w:tcPr>
            <w:tcW w:w="783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21%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61%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22%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14%</w:t>
            </w:r>
          </w:p>
        </w:tc>
        <w:tc>
          <w:tcPr>
            <w:tcW w:w="783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15%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50%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61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45%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5%</w:t>
            </w:r>
          </w:p>
        </w:tc>
        <w:tc>
          <w:tcPr>
            <w:tcW w:w="783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color w:val="C00000"/>
              </w:rPr>
              <w:t>5%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7%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9%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14%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color w:val="C00000"/>
              </w:rPr>
              <w:t>1</w:t>
            </w:r>
            <w:r>
              <w:rPr>
                <w:color w:val="C00000"/>
              </w:rPr>
              <w:t>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20%</w:t>
            </w:r>
          </w:p>
        </w:tc>
      </w:tr>
    </w:tbl>
    <w:p w:rsidR="00441C67" w:rsidRDefault="00441C67" w:rsidP="00441C67">
      <w:pPr>
        <w:rPr>
          <w:rFonts w:ascii="Times New Roman" w:hAnsi="Times New Roman" w:cs="Times New Roman"/>
          <w:b/>
          <w:sz w:val="24"/>
          <w:szCs w:val="24"/>
        </w:rPr>
      </w:pPr>
    </w:p>
    <w:p w:rsidR="00441C67" w:rsidRDefault="00441C67" w:rsidP="00441C67">
      <w:pPr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A367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6734" w:rsidRDefault="00A36734" w:rsidP="00A367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7" w:rsidRPr="00821362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62">
        <w:rPr>
          <w:rFonts w:ascii="Times New Roman" w:hAnsi="Times New Roman" w:cs="Times New Roman"/>
          <w:b/>
          <w:sz w:val="28"/>
          <w:szCs w:val="28"/>
        </w:rPr>
        <w:t>Пропедевтические курсы. Химия</w:t>
      </w: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7" w:rsidRPr="00821362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Учителям химии ЛО рекомендуется использовать УМК пропедевтического курса «Мир химии» для учащихся 7-х классов (Автор Л.Т. Ткаченко, учитель химии Лицея № 3 г. Гатчина)</w:t>
      </w: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УМК включает: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 Рабочую программу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Календарное, тематическое  и поурочное планирование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Книгу для учителя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Пособие для школьников (тетрадь для выполнения заданий)</w:t>
      </w:r>
    </w:p>
    <w:p w:rsidR="00441C67" w:rsidRPr="00EB71C0" w:rsidRDefault="00441C67" w:rsidP="00441C6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Данному УМК на заседании межуровневого УМО ЛО от 28 июня 2017 года присвоен Гриф «Рекомендовано МУ УМО в системе образования ЛО </w:t>
      </w: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C67" w:rsidRPr="00EB71C0" w:rsidRDefault="00441C67" w:rsidP="00441C6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F03408" w:rsidRPr="00F03408" w:rsidRDefault="00F03408" w:rsidP="00F034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школьному  и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муниципальному этапу Всероссийской олимпиады школьников по химии в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56796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03408" w:rsidRDefault="00F03408" w:rsidP="005821DB">
      <w:pPr>
        <w:pStyle w:val="Default"/>
        <w:jc w:val="center"/>
        <w:rPr>
          <w:b/>
          <w:bCs/>
          <w:sz w:val="23"/>
          <w:szCs w:val="23"/>
        </w:rPr>
      </w:pP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ВСЕРОССИЙСКАЯ ОЛИМПИАДА ШКОЛЬНИКОВ ПО ХИМИИ</w:t>
      </w:r>
    </w:p>
    <w:p w:rsidR="005821DB" w:rsidRDefault="005821DB" w:rsidP="005821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Архангельская О.В., Емельянов В.А., </w:t>
      </w:r>
      <w:proofErr w:type="spellStart"/>
      <w:r>
        <w:rPr>
          <w:b/>
          <w:bCs/>
          <w:sz w:val="23"/>
          <w:szCs w:val="23"/>
        </w:rPr>
        <w:t>Долженко</w:t>
      </w:r>
      <w:proofErr w:type="spellEnd"/>
      <w:r>
        <w:rPr>
          <w:b/>
          <w:bCs/>
          <w:sz w:val="23"/>
          <w:szCs w:val="23"/>
        </w:rPr>
        <w:t xml:space="preserve"> В.Д., </w:t>
      </w:r>
      <w:proofErr w:type="spellStart"/>
      <w:r>
        <w:rPr>
          <w:b/>
          <w:bCs/>
          <w:sz w:val="23"/>
          <w:szCs w:val="23"/>
        </w:rPr>
        <w:t>Тюльков</w:t>
      </w:r>
      <w:proofErr w:type="spellEnd"/>
      <w:r>
        <w:rPr>
          <w:b/>
          <w:bCs/>
          <w:sz w:val="23"/>
          <w:szCs w:val="23"/>
        </w:rPr>
        <w:t xml:space="preserve"> И.А., Лунин В.В.</w:t>
      </w: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МЕТОДИЧЕСКИЕ РЕКОМЕНДАЦИИ</w:t>
      </w: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ПРОВЕДЕНИЮ ШКОЛЬНОГО И МУНИЦИПАЛЬНОГО ЭТАПОВ ВСЕРОССИЙСКОЙ ОЛИМПИАДЫ ШКОЛЬНИКОВ ПО ХИМИИ</w:t>
      </w: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2018/2019 УЧЕБНОМ ГОДУ</w:t>
      </w:r>
    </w:p>
    <w:p w:rsidR="005821DB" w:rsidRDefault="005821DB" w:rsidP="005821D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Москва, 2018г.</w:t>
      </w:r>
    </w:p>
    <w:p w:rsidR="005821DB" w:rsidRDefault="005821DB" w:rsidP="005821DB">
      <w:pPr>
        <w:pStyle w:val="Default"/>
        <w:rPr>
          <w:rFonts w:ascii="Calibri" w:hAnsi="Calibri" w:cs="Calibri"/>
          <w:sz w:val="22"/>
          <w:szCs w:val="22"/>
        </w:rPr>
      </w:pPr>
    </w:p>
    <w:p w:rsidR="005821DB" w:rsidRDefault="005821DB" w:rsidP="005821DB">
      <w:pPr>
        <w:pStyle w:val="Default"/>
        <w:rPr>
          <w:rFonts w:ascii="Calibri" w:hAnsi="Calibri" w:cs="Calibri"/>
          <w:sz w:val="22"/>
          <w:szCs w:val="22"/>
        </w:rPr>
      </w:pP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Настоящие методические рекомендации подготовлены центральной предметно-методической комиссией по химии и утверждены на заседании ЦПМК 29 июня 2018 г. протокол №5.</w:t>
      </w: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Принципы составления олимпиадных заданий и формирования комплектов олимпиадных заданий для школьного и муниципального этапов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1DB">
        <w:rPr>
          <w:rFonts w:ascii="Times New Roman" w:hAnsi="Times New Roman" w:cs="Times New Roman"/>
          <w:sz w:val="24"/>
          <w:szCs w:val="24"/>
        </w:rPr>
        <w:t xml:space="preserve">Задания олимпиады школьного и муниципального этапа могут быть авторскими или выбраны из литературных источников. За основу могут быть взяты задания олимпиад прошлых лет, опубликованные в сборниках и на интернет порталах (см. список литературы, Интернет-ресурсов). </w:t>
      </w:r>
      <w:r w:rsidRPr="00582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Ссылка на источник обязательна</w:t>
      </w:r>
      <w:r w:rsidRPr="005821DB">
        <w:rPr>
          <w:rFonts w:ascii="Times New Roman" w:hAnsi="Times New Roman" w:cs="Times New Roman"/>
          <w:sz w:val="24"/>
          <w:szCs w:val="24"/>
        </w:rPr>
        <w:t>. Задания школьного и муниципального этапов целесообразно разрабатывать для 4 возрастных параллелей: школьный этап – 5-8, 9, 10 и 11 классы, муниципальный этап – 7-8, 9, 10, 11 классы. Для каждой параллели разрабатывается один вариант заданий.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1DB">
        <w:rPr>
          <w:rFonts w:ascii="Times New Roman" w:hAnsi="Times New Roman" w:cs="Times New Roman"/>
          <w:sz w:val="24"/>
          <w:szCs w:val="24"/>
        </w:rPr>
        <w:t>Школьный и муниципальный этапы Олимпиады по химии для старших возрастных параллелей желательно проводить в 2 тура (теоретический и экспериментальный) в сроки, установленные Порядком проведения Всероссийской олимпиады школьников (Приказ № 1252 Министерства образования и науки Российской Федерации от 18 ноября 2013 г, приказ № 249 Министерства образования и науки Российской Федерации от 17 марта 2015 г., приказ № 1488 Министерства образования и науки Российской Федерации от 17 декабря 2015 г., приказ № 1435 Министерства образования и науки Российской Федерации от 17 ноября 2016 г.). Длительность теоретического тура составляет не более 4 (четырех), а экспериментального тура – не более 2 (двух) астрономических часов. Если проведение экспериментального тура на школьном этапе невозможно, то в комплект теоретического тура включается задача, требующая мысленного эксперимента, и время проведения тура увеличивается.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</w:t>
      </w:r>
      <w:r w:rsidRPr="005821DB">
        <w:rPr>
          <w:rFonts w:ascii="Times New Roman" w:eastAsia="Times New Roman,Bold" w:hAnsi="Times New Roman" w:cs="Times New Roman"/>
          <w:b/>
          <w:bCs/>
          <w:sz w:val="24"/>
          <w:szCs w:val="24"/>
        </w:rPr>
        <w:t>Для учащихся 5</w:t>
      </w:r>
      <w:r w:rsidRPr="005821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21D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8 классов </w:t>
      </w:r>
      <w:r w:rsidRPr="005821DB">
        <w:rPr>
          <w:rFonts w:ascii="Times New Roman" w:hAnsi="Times New Roman" w:cs="Times New Roman"/>
          <w:sz w:val="24"/>
          <w:szCs w:val="24"/>
        </w:rPr>
        <w:t>олимпиада по химии должна быть в большей степени занимательной, чем традиционной: в отличие от классической формы проведения олимпиады (теоретический и экспериментальный тур), в данном случае рекомендуется игровая форма: олимпиада может быть проведена в виде викторин и конкурсов химического содержания, включающих: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1. элементарные лабораторные операции (кто точнее взвесит или измерит объем, кто точнее и аккуратнее отберет необходимый объем жидкости, кто быстро, при этом аккуратно и точно приготовит раствор заданной концентрации или разделит смесь на компоненты);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lastRenderedPageBreak/>
        <w:t>2. простые химические опыты, связанные с жизнью: гашение соды уксусной кислотой, разложение хлорида аммония, изменение цвета природных индикаторов в кислой и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щелочной среде.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К подготовке туров для обучающихся 5-8 классов желательно привлекать старшеклассников.</w:t>
      </w: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FF"/>
          <w:sz w:val="26"/>
          <w:szCs w:val="26"/>
        </w:rPr>
      </w:pP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  <w:r w:rsidRPr="005821DB">
        <w:rPr>
          <w:rFonts w:ascii="Cambria,BoldItalic" w:hAnsi="Cambria,BoldItalic" w:cs="Cambria,BoldItalic"/>
          <w:b/>
          <w:bCs/>
          <w:i/>
          <w:iCs/>
          <w:sz w:val="26"/>
          <w:szCs w:val="26"/>
        </w:rPr>
        <w:t>Содержание олимпиадных заданий учащихся 9-11 классов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Олимпиадные задачи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теоретического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тура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5821DB">
        <w:rPr>
          <w:rFonts w:ascii="Times New Roman" w:hAnsi="Times New Roman" w:cs="Times New Roman"/>
          <w:sz w:val="24"/>
          <w:szCs w:val="24"/>
        </w:rPr>
        <w:t>основаны на материале 4 разделов химии: неорганической, аналитической, органической и физической. В содержании задач должны содержаться вопросы, требующие от участников следующих знаний и умений: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неорганической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номенклатура;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строение, свойства и методы получения основных классов соединений: оксидов, кислот, оснований, солей;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закономерности в изменении свойств элементов и их соединений в соответствии с периодическим законом.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аналитической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качественные реакции, использующиеся для обнаружения катионов и анионов неорганических солей;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использование данных по количественному анализу.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органической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номенклатура;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изомерия;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строение;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получение и химические свойства основных классов органических соединений (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галогенпроизводных, аминов, спиртов и фенолов, карбонильных соединений, карбоновых кислот, сложных эфиров, пептидов);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физической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строение атомов и молекул,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типы и характеристики химической связи;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основы химической термодинамики и кинетики.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При составлении заданий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практического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тура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5821DB">
        <w:rPr>
          <w:rFonts w:ascii="Times New Roman" w:hAnsi="Times New Roman" w:cs="Times New Roman"/>
          <w:sz w:val="24"/>
          <w:szCs w:val="24"/>
        </w:rPr>
        <w:t>необходимо включать в них задания требующие использования следующих простых экспериментальных навыков: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взвешивание (аналитические весы);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измерение объемов жидкостей с помощью мерного цилиндра, пипетки, бюретки, мерной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колбы;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приготовление раствора из твердого вещества и растворителя, смешивание и разбавление, выпаривание растворов;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- нагревание с помощью горелки, электрической плитки,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колбонагревателя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на водяной и на песчаной бане;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смешивание и перемешивание жидкостей: использование магнитной или механической мешалки, стеклянной палочки;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использование капельной и делительной воронок;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фильтрование через плоский бумажный фильтр, фильтрование через свернутый бумажный фильтр; промывание осадков на фильтре;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высушивание веществ в сушильном шкафу, высушивание веществ в эксикаторе</w:t>
      </w: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821DB">
        <w:rPr>
          <w:rFonts w:ascii="Times New Roman" w:hAnsi="Times New Roman" w:cs="Times New Roman"/>
          <w:sz w:val="24"/>
          <w:szCs w:val="24"/>
        </w:rPr>
        <w:t>высушивание осадков на фильтре;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lastRenderedPageBreak/>
        <w:t>- качественный анализ (обнаружение катионов и анионов в водном растворе; идентификация элементов по окрашиванию пламени; качественное определение основных функциональных групп органических соединений);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определение кислотности среды с использованием индикаторов.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Например, перекристаллизация требует проведения большинства указанных простых операций и возможна с использование доступного оборудования и веществ.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  <w:r w:rsidRPr="005821DB">
        <w:rPr>
          <w:rFonts w:ascii="Cambria,BoldItalic" w:hAnsi="Cambria,BoldItalic" w:cs="Cambria,BoldItalic"/>
          <w:b/>
          <w:bCs/>
          <w:i/>
          <w:iCs/>
          <w:sz w:val="26"/>
          <w:szCs w:val="26"/>
        </w:rPr>
        <w:t>Подходы к разработке олимпиадных заданий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При разработке олимпиадных задач важную роль играют </w:t>
      </w:r>
      <w:proofErr w:type="spellStart"/>
      <w:r w:rsidRPr="005821DB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межпредметные</w:t>
      </w:r>
      <w:proofErr w:type="spellEnd"/>
      <w:r w:rsidRPr="005821DB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proofErr w:type="spellStart"/>
      <w:r w:rsidRPr="005821DB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связи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Интеграция математической составляющей в задание по химии, например, ни в коем случае не умаляет «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химичности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»задачи, а, наоборот, способствует расширению кругозора участников олимпиады, творческому развитию знаний школьников. Такие «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» задачи усиливают химическую составляющую и показывают тесную взаимосвязь естественных наук.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Олимпиадная задача – это единое целое. В нее входит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условие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,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развернутое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решение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,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система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оценивания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>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Условия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олимпиадных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задач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5821DB">
        <w:rPr>
          <w:rFonts w:ascii="Times New Roman" w:hAnsi="Times New Roman" w:cs="Times New Roman"/>
          <w:sz w:val="24"/>
          <w:szCs w:val="24"/>
        </w:rPr>
        <w:t>могут быть сформулированы по-разному: условие с вопросом или заданием в конце (при этом вопросов может быть несколько); тест с выбором ответа; задача, в которой текст условия прерывается вопросами (так зачастую строятся задачи на высоких уровнях олимпиады).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1DB">
        <w:rPr>
          <w:rFonts w:ascii="Times New Roman" w:hAnsi="Times New Roman" w:cs="Times New Roman"/>
          <w:sz w:val="24"/>
          <w:szCs w:val="24"/>
        </w:rPr>
        <w:t>Олимпиадные задачи по химии можно разделить на три основных группы: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качественные, расчётные (количественные) и экспериментальные</w:t>
      </w:r>
      <w:r w:rsidRPr="005821DB">
        <w:rPr>
          <w:rFonts w:ascii="Times New Roman" w:hAnsi="Times New Roman" w:cs="Times New Roman"/>
          <w:sz w:val="24"/>
          <w:szCs w:val="24"/>
        </w:rPr>
        <w:t>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В </w:t>
      </w:r>
      <w:r w:rsidRPr="005821D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качественных задачах </w:t>
      </w:r>
      <w:r w:rsidRPr="005821DB">
        <w:rPr>
          <w:rFonts w:ascii="Times New Roman" w:hAnsi="Times New Roman" w:cs="Times New Roman"/>
          <w:sz w:val="24"/>
          <w:szCs w:val="24"/>
        </w:rPr>
        <w:t>может потребоваться: объяснение экспериментальных фактов (например, изменение цвета в результате реакции); распознавание веществ; получение новых соединений; предсказание свойств веществ, возможности протекания химических реакций; описание, объяснение тех или иных явлений; разделение смесей веществ.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Классической формой качественной задачи является задание со схемами (цепочками) превращений. (В схемах стрелки могут быть направлены в любую сторону, иногда даже в обе стороны (в этом случае каждой стрелке соответствуют два различных уравнения реакций)). Схемы превращений веществ можно классифицировать следующим образом: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1. </w:t>
      </w:r>
      <w:r w:rsidRPr="005821D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объектам</w:t>
      </w:r>
      <w:r w:rsidRPr="005821DB">
        <w:rPr>
          <w:rFonts w:ascii="Times New Roman" w:hAnsi="Times New Roman" w:cs="Times New Roman"/>
          <w:sz w:val="24"/>
          <w:szCs w:val="24"/>
        </w:rPr>
        <w:t>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неорганические;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органические;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смешанные.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5821D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форме «цепочки» (схемы могут быть линейными, разветвленными, циклическими)</w:t>
      </w:r>
      <w:r w:rsidRPr="005821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5821D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объему и типу предоставленной информации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Даны все вещества без указаний условий протекания реакций.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Все или некоторые вещества зашифрованы буквами. Разные буквы соответствуют разным веществам, условия протекания реакций не указаны.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Вещества в схеме полностью или частично зашифрованы буквами и указаны условия протекания реакций или реагенты.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В схемах вместо веществ даны элементы, входящие в состав веществ, в соответствующих степенях окисления.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Схемы, в которых органические вещества зашифрованы в виде брутто-формул.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Другой формой качественных задач являются задачи на описание химического эксперимента (мысленный эксперимент) с указанием условий проведения реакций и наблюдений.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В </w:t>
      </w: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расчетных (количественных) задачах </w:t>
      </w:r>
      <w:r w:rsidRPr="005821DB">
        <w:rPr>
          <w:rFonts w:ascii="Times New Roman" w:hAnsi="Times New Roman" w:cs="Times New Roman"/>
          <w:sz w:val="24"/>
          <w:szCs w:val="24"/>
        </w:rPr>
        <w:t xml:space="preserve">обычно необходимы расчеты состава вещества или смеси веществ (массовый, объемный и мольный проценты); расчеты состава раствора </w:t>
      </w:r>
      <w:r w:rsidRPr="005821DB">
        <w:rPr>
          <w:rFonts w:ascii="Times New Roman" w:hAnsi="Times New Roman" w:cs="Times New Roman"/>
          <w:sz w:val="24"/>
          <w:szCs w:val="24"/>
        </w:rPr>
        <w:lastRenderedPageBreak/>
        <w:t xml:space="preserve">(приготовление растворов заданной концентрации); расчеты с использованием газовых законов (закон Авогадро, уравнение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Клапейрона-Менделеева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); вывод химической формулы вещества; расчеты по химическим уравнениям (стехиометрические соотношения); расчеты с использованием законов химической термодинамики (закон сохранения энергии, закон Гесса); расчеты с использованием законов химической кинетики (закон действия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масс,правило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Вант-Гоффа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уравнение Аррениуса), расчеты с использованием констант равновесия.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Чаще всего олимпиадные задания включают в себя несколько типов задач</w:t>
      </w: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821DB">
        <w:rPr>
          <w:rFonts w:ascii="Times New Roman" w:hAnsi="Times New Roman" w:cs="Times New Roman"/>
          <w:sz w:val="24"/>
          <w:szCs w:val="24"/>
        </w:rPr>
        <w:t xml:space="preserve">т.е. являются </w:t>
      </w: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комбинированными. </w:t>
      </w:r>
      <w:r w:rsidRPr="005821DB">
        <w:rPr>
          <w:rFonts w:ascii="Times New Roman" w:hAnsi="Times New Roman" w:cs="Times New Roman"/>
          <w:sz w:val="24"/>
          <w:szCs w:val="24"/>
        </w:rPr>
        <w:t>В задаче может быть избыток или недостаток данных. В случае избытка школьник должен выбрать те данные, которые необходимы для ответа на поставленный в задаче вопрос. В случае недостатка данных, школьнику необходимо показать умение пользоваться источниками справочной информации и извлекать необходимые для решения данные.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Примерами задач экспериментального тура являются небольшие практические работы на различение веществ, на простейший синтез, на приготовление раствора с заданной концентрацией.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Условия экспериментальных задач должны быть составлены так, чтобы у учащихся появился интерес к экспериментальной химии. Для достижения этой цели необходимо освоение учащимися простейших лабораторных операций. В формулировках экспериментальных заданий обязательно должно быть задание описать выполнение эксперимента, наблюдения происходящих реакций и сделать вывод из наблюдений.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Методические требования к олимпиадным задачам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Задача должна быть познавательной, будить любопытство, удивлять.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Вопросы олимпиадной задачи должны быть сложными, т.е. решаться в несколько действий.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Задача должна быть комбинированной: включать вопросы как качественного, так и расчетного характера; желательно, чтобы в задаче содержался и материал из других естественнонаучных дисциплин. По возможности и задачи, и вопросы должны быть составлены и сформулированы оригинально.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Решение задачи должно требовать от участников олимпиады не знания редких фактов, а понимания сути химических явлений и умения логически мыслить.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В задачах полезно использовать различные способы названий веществ, которые используются в быту и технике.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Вопросы к задаче должны быть выделены, четко сформулированы, не могут допускать двоякого толкования. На основе вопросов строится система оценивания.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Решение задач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Написать решение задачи не легче, чем создать само задание. Решение должно ориентировать школьника на самостоятельную работу: оно должно быть развивающим, обучающим (ознакомительным). Важно, чтобы задачи имели ограниченное число верных решений, и эти решения должны быть развернутыми, подробными, логически выстроенным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821DB">
        <w:rPr>
          <w:rFonts w:ascii="Times New Roman" w:hAnsi="Times New Roman" w:cs="Times New Roman"/>
          <w:sz w:val="24"/>
          <w:szCs w:val="24"/>
        </w:rPr>
        <w:t>и включали систему оценивания.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Система оценивания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Ее разработка - процесс такой же творческий, как написание условия и решения задачи. Система оценивания решения задачи опирается на поэлементный анализ. Особые сложности возникают с выбором оцениваемых элементов, т.к. задания носят творческий характер и путей получения ответа может быть несколько. Таким образом, авторами-разработчиками необходимо выявить основные характеристики верных ответов, не зависящие от путей решения, или рассмотреть и оценить каждый из возможных вариантов решения. Система оценок должна быть гибкой и сводить субъективность проверки к минимуму. При этом она должна быть четко детерминированной.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Рекомендации по разработке системы оценивания: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1. Решения задачи должны быть разбиты на элементы (шаги).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lastRenderedPageBreak/>
        <w:t>2. В каждом задании баллы выставляются за каждый элемент (шаг) решения. Причем балл за один шаг решения может варьироваться от 0 (решение соответствующего элемента отсутствует или выполнено полностью неверно) до максимально возможного балла за данный шаг.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3. Баллы за правильно выполненные элементы решения </w:t>
      </w: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суммируются.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4. Шаги, демонстрирующие умение логически рассуждать, творчески мыслить, проявлять интуицию оцениваются выше, чем те, в которых показаны более простые умения, владение формальными знаниями, выполнение тривиальных расчетов и др.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Суммарный балл за </w:t>
      </w:r>
      <w:proofErr w:type="spell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равзличные</w:t>
      </w:r>
      <w:proofErr w:type="spell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задания («стоимость» каждого задания) не обязательно должен быть одинаковым.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Методика оценивания выполненных олимпиадных заданий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Оценивание работ участников школьного и муниципального этапов Всероссийской олимпиады проводится согласно системе оценивания, разработанной предметной методической комиссией (см. рекомендации по разработке системы оценивания). Члены жюри перед проверкой знакомятся с решениями и с системой оценивания, распределяют задания, которые будут проверять. Проверка проводится парой членов жюри. Важным условием объективности проверки является то, что одна пара членов жюри проверяет одно и то же задание.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Члены жюри приступают к проверке только после кодирования работ (кодированием занимается представитель орг. комитета).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В системе оценивания указан максимальный балл за тот или иной элемент решения. При неполном или частично ошибочном ответе ставится меньшее число баллов. Если ответ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неправильный, то за элемент решения баллы не начисляются.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Баллы могут начисляться также за оригинальное решение. При этом нельзя превышать максимальный балл за задание.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Общая оценка результата участника олимпиады является арифметической суммой всех баллов, полученным им за задания всех туров олимпиады. Баллы за задания и общая сумма заносится членами жюри в ведомость</w:t>
      </w:r>
      <w:r>
        <w:rPr>
          <w:rFonts w:ascii="Times New Roman,Bold" w:eastAsia="Times New Roman,Bold" w:hAnsi="Times New Roman" w:cs="Times New Roman,Bold"/>
          <w:b/>
          <w:bCs/>
          <w:color w:val="0000FF"/>
          <w:sz w:val="24"/>
          <w:szCs w:val="24"/>
        </w:rPr>
        <w:t xml:space="preserve"> </w:t>
      </w: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и вместе с работами передается на декодирование, а затем фиксируются в итоговой ведомости, по которой подводятся итоги олимпиады.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Материально-техническое обеспечение для выполнения олимпиадных заданий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тиражирования материалов необходима компьютерная техника, множительная техника (лазерные принтеры и копиры) и расходные материалы. Материалы (условия и решения с системой оценивания) следует размножать в расчете на каждого участника.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каждого участника необходимо распечатать периодическую систему, таблицу растворимости (приложения 1 и 2) и условия заданий. Решения с системой оценивания печатаются отдельно и раздаются участникам и сопровождающим только после окончания всеми участниками теоретического тура.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выполнения заданий теоретического и экспериментального туров требуются проштампованные тетради в клетку/листы бумаги формата А4, небольшой запас ручек синего (или черного цвета).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работы жюри и оргкомитета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Компьютерная и множительная техника, бумага, ручки синие и красные (в расчете по 2 шт. на каждого члена жюри), карандаши простые, ножницы, </w:t>
      </w:r>
      <w:proofErr w:type="spell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степлеры</w:t>
      </w:r>
      <w:proofErr w:type="spell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 скрепки к ним, </w:t>
      </w:r>
      <w:proofErr w:type="spell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антистеплеры</w:t>
      </w:r>
      <w:proofErr w:type="spell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, клеящий карандаш;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экспериментального тура необходимы реактивы и оборудование, которыми укомплектована школа, при необходимости организаторы должны предусмотреть закупку простого оборудования (пробирки, колбы и т.д.) и реактивов для проведения муниципального и школьного этапов в соответствии с требованиями разработанными региональными и муниципальными методическими комиссиями.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Периодическая система химических элементов (приложение 1).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Таблица растворимости и ряд напряжения металлов (приложение 2).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Инженерный непрограммируемый калькулятор</w:t>
      </w:r>
    </w:p>
    <w:p w:rsidR="005821DB" w:rsidRPr="005821DB" w:rsidRDefault="005821DB" w:rsidP="005821DB">
      <w:pPr>
        <w:pStyle w:val="Default"/>
        <w:rPr>
          <w:color w:val="auto"/>
        </w:rPr>
      </w:pPr>
    </w:p>
    <w:p w:rsidR="005821DB" w:rsidRPr="005821DB" w:rsidRDefault="005821DB" w:rsidP="005821DB">
      <w:pPr>
        <w:pStyle w:val="Default"/>
        <w:rPr>
          <w:color w:val="auto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821362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1C0" w:rsidRPr="00821362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7AA5" w:rsidRDefault="000E7AA5">
      <w:r>
        <w:br w:type="page"/>
      </w:r>
    </w:p>
    <w:p w:rsidR="000E7AA5" w:rsidRDefault="000E7AA5" w:rsidP="000E7A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4A87" w:rsidRDefault="003954CC" w:rsidP="0039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62">
        <w:rPr>
          <w:rFonts w:ascii="Times New Roman" w:hAnsi="Times New Roman" w:cs="Times New Roman"/>
          <w:b/>
          <w:sz w:val="28"/>
          <w:szCs w:val="28"/>
        </w:rPr>
        <w:t>Рекомендации к аттестации на первую и высшую квалификационные категории (для учителей химии всех типов ОУ Ленинградской области)</w:t>
      </w:r>
    </w:p>
    <w:p w:rsidR="00BB67E9" w:rsidRPr="00EB71C0" w:rsidRDefault="00BB67E9" w:rsidP="0039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34" w:rsidRDefault="00BB67E9" w:rsidP="00B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Учителям химии всех типов образовательных учреждений при подготовке документации к аттестации можно использовать</w:t>
      </w:r>
    </w:p>
    <w:tbl>
      <w:tblPr>
        <w:tblStyle w:val="a6"/>
        <w:tblW w:w="0" w:type="auto"/>
        <w:tblLook w:val="04A0"/>
      </w:tblPr>
      <w:tblGrid>
        <w:gridCol w:w="9571"/>
      </w:tblGrid>
      <w:tr w:rsidR="00A36734" w:rsidTr="00A36734">
        <w:tc>
          <w:tcPr>
            <w:tcW w:w="9571" w:type="dxa"/>
          </w:tcPr>
          <w:p w:rsidR="00A36734" w:rsidRDefault="00A36734" w:rsidP="00BB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34" w:rsidRDefault="00A36734" w:rsidP="00A3673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«Рекомендации для подготовки </w:t>
            </w:r>
            <w:proofErr w:type="spellStart"/>
            <w:r w:rsidRPr="00EB71C0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EB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аттестации учителей химии на первую и высшую квалификационные категории»</w:t>
            </w:r>
          </w:p>
          <w:p w:rsidR="00A36734" w:rsidRDefault="00A36734" w:rsidP="00A3673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34" w:rsidRPr="00EB71C0" w:rsidRDefault="00A36734" w:rsidP="00A3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Введенская А.Г.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методист кафедры естественно-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географического образования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Цурикова С.В.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естественно - географического</w:t>
            </w:r>
          </w:p>
          <w:p w:rsidR="00A36734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36734" w:rsidRDefault="00A36734" w:rsidP="00A3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34" w:rsidRDefault="00A36734" w:rsidP="00A3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34" w:rsidRDefault="00A36734" w:rsidP="00A3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734" w:rsidRDefault="00A36734" w:rsidP="00A3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34" w:rsidRPr="00EB71C0" w:rsidRDefault="00A36734" w:rsidP="00A3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7E9" w:rsidRPr="00EB71C0" w:rsidRDefault="00BB67E9" w:rsidP="00BB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В данных рекомендациях приведены:</w:t>
      </w:r>
    </w:p>
    <w:p w:rsidR="00BB67E9" w:rsidRPr="00EB71C0" w:rsidRDefault="00BB67E9" w:rsidP="00BB67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Таблицы и схемы, соответствующие положениям «Экспертного заключения…»</w:t>
      </w:r>
    </w:p>
    <w:p w:rsidR="00BB67E9" w:rsidRPr="00EB71C0" w:rsidRDefault="00BB67E9" w:rsidP="00BB67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Приложения, содержащие информацию: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 возможных источниках публикации учебно-методических материалов учителями химии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Об олимпиадах по химии, имеющих (и не имеющих) официальный статус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О конкурсах разных </w:t>
      </w:r>
      <w:r w:rsidR="005818B6" w:rsidRPr="00EB71C0">
        <w:rPr>
          <w:rFonts w:ascii="Times New Roman" w:hAnsi="Times New Roman" w:cs="Times New Roman"/>
          <w:sz w:val="24"/>
          <w:szCs w:val="24"/>
        </w:rPr>
        <w:t xml:space="preserve"> уровней научных работ учащихся по химии</w:t>
      </w:r>
    </w:p>
    <w:p w:rsidR="005818B6" w:rsidRPr="00EB71C0" w:rsidRDefault="005818B6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 конкурсах для учителей химии</w:t>
      </w:r>
    </w:p>
    <w:p w:rsidR="00A36734" w:rsidRDefault="00C37902" w:rsidP="00A36734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 Рекомендации по оформлению плана-конспекта открытого урок</w:t>
      </w:r>
      <w:r w:rsidR="00A36734">
        <w:rPr>
          <w:rFonts w:ascii="Times New Roman" w:hAnsi="Times New Roman" w:cs="Times New Roman"/>
          <w:sz w:val="24"/>
          <w:szCs w:val="24"/>
        </w:rPr>
        <w:t>а</w:t>
      </w:r>
    </w:p>
    <w:p w:rsidR="00A36734" w:rsidRPr="00A36734" w:rsidRDefault="00A36734" w:rsidP="00A36734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DE0472" w:rsidRPr="00A36734" w:rsidRDefault="00DE0472" w:rsidP="00DE0472">
      <w:pPr>
        <w:pStyle w:val="a3"/>
        <w:spacing w:after="0" w:line="240" w:lineRule="auto"/>
        <w:ind w:left="567"/>
        <w:rPr>
          <w:rFonts w:ascii="Monotype Corsiva" w:hAnsi="Monotype Corsiva" w:cs="Times New Roman"/>
          <w:b/>
          <w:sz w:val="24"/>
          <w:szCs w:val="24"/>
        </w:rPr>
      </w:pPr>
      <w:r w:rsidRPr="00A36734">
        <w:rPr>
          <w:rFonts w:ascii="Monotype Corsiva" w:hAnsi="Monotype Corsiva" w:cs="Times New Roman"/>
          <w:b/>
          <w:sz w:val="24"/>
          <w:szCs w:val="24"/>
        </w:rPr>
        <w:t>Данные материалы размещены на Региональном образовательном портале ХОР.</w:t>
      </w:r>
    </w:p>
    <w:p w:rsidR="00DE0472" w:rsidRPr="00A36734" w:rsidRDefault="00DE0472" w:rsidP="00DE0472">
      <w:pPr>
        <w:pStyle w:val="a3"/>
        <w:spacing w:after="0" w:line="240" w:lineRule="auto"/>
        <w:ind w:left="0"/>
        <w:rPr>
          <w:rFonts w:ascii="Monotype Corsiva" w:hAnsi="Monotype Corsiva" w:cs="Times New Roman"/>
          <w:b/>
          <w:sz w:val="24"/>
          <w:szCs w:val="24"/>
        </w:rPr>
      </w:pPr>
      <w:r w:rsidRPr="00A36734">
        <w:rPr>
          <w:rFonts w:ascii="Monotype Corsiva" w:hAnsi="Monotype Corsiva" w:cs="Times New Roman"/>
          <w:b/>
          <w:sz w:val="24"/>
          <w:szCs w:val="24"/>
        </w:rPr>
        <w:t>Как выйти на ХОР:</w:t>
      </w:r>
    </w:p>
    <w:p w:rsidR="00DE0472" w:rsidRPr="00A36734" w:rsidRDefault="00DE0472" w:rsidP="00DE0472">
      <w:pPr>
        <w:pStyle w:val="a3"/>
        <w:spacing w:after="0" w:line="240" w:lineRule="auto"/>
        <w:ind w:left="567" w:hanging="567"/>
        <w:rPr>
          <w:rFonts w:ascii="Monotype Corsiva" w:hAnsi="Monotype Corsiva" w:cs="Times New Roman"/>
          <w:b/>
          <w:sz w:val="24"/>
          <w:szCs w:val="24"/>
        </w:rPr>
      </w:pPr>
      <w:r w:rsidRPr="00A36734">
        <w:rPr>
          <w:rFonts w:ascii="Monotype Corsiva" w:hAnsi="Monotype Corsiva" w:cs="Times New Roman"/>
          <w:b/>
          <w:sz w:val="24"/>
          <w:szCs w:val="24"/>
        </w:rPr>
        <w:t>Сайт ЛОИРО</w:t>
      </w:r>
      <w:r w:rsidRPr="00A36734">
        <w:rPr>
          <w:rFonts w:ascii="Monotype Corsiva" w:hAnsi="Monotype Corsiva" w:cs="Arial"/>
          <w:b/>
          <w:color w:val="000000"/>
          <w:sz w:val="24"/>
          <w:szCs w:val="24"/>
          <w:shd w:val="clear" w:color="auto" w:fill="F9F9F9"/>
        </w:rPr>
        <w:t xml:space="preserve"> </w:t>
      </w:r>
      <w:r w:rsidRPr="00A36734">
        <w:rPr>
          <w:rFonts w:ascii="Monotype Corsiva" w:hAnsi="Monotype Corsiva" w:cs="Times New Roman"/>
          <w:b/>
          <w:sz w:val="24"/>
          <w:szCs w:val="24"/>
        </w:rPr>
        <w:t xml:space="preserve">→ «Педагогический ХОР» →Региональный образовательный портал ХОР → </w:t>
      </w:r>
      <w:proofErr w:type="spellStart"/>
      <w:r w:rsidRPr="00A36734">
        <w:rPr>
          <w:rFonts w:ascii="Monotype Corsiva" w:hAnsi="Monotype Corsiva" w:cs="Times New Roman"/>
          <w:b/>
          <w:sz w:val="24"/>
          <w:szCs w:val="24"/>
        </w:rPr>
        <w:t>Инфотека</w:t>
      </w:r>
      <w:proofErr w:type="spellEnd"/>
      <w:r w:rsidRPr="00A36734">
        <w:rPr>
          <w:rFonts w:ascii="Monotype Corsiva" w:hAnsi="Monotype Corsiva" w:cs="Times New Roman"/>
          <w:b/>
          <w:sz w:val="24"/>
          <w:szCs w:val="24"/>
        </w:rPr>
        <w:t xml:space="preserve"> → Химия</w:t>
      </w:r>
    </w:p>
    <w:p w:rsidR="000D4FCA" w:rsidRPr="00A36734" w:rsidRDefault="000D4FCA" w:rsidP="00DE0472">
      <w:pPr>
        <w:pStyle w:val="a3"/>
        <w:spacing w:after="0" w:line="240" w:lineRule="auto"/>
        <w:ind w:left="567" w:hanging="567"/>
        <w:rPr>
          <w:rFonts w:ascii="Monotype Corsiva" w:hAnsi="Monotype Corsiva" w:cs="Times New Roman"/>
          <w:b/>
          <w:sz w:val="24"/>
          <w:szCs w:val="24"/>
        </w:rPr>
      </w:pPr>
    </w:p>
    <w:p w:rsidR="000D4FCA" w:rsidRPr="00A36734" w:rsidRDefault="000D4FCA" w:rsidP="00A3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34" w:rsidRPr="005852F0" w:rsidRDefault="00A36734" w:rsidP="00A367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модели аттестации учителя на основе применения ЕФОМ (единых федеральных оценочных материалов)»</w:t>
      </w:r>
      <w:r w:rsidRPr="0058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согласно утверждённой дорожной карте формирования и введения НСУР  является годом доработки новой модели аттестации учителей. </w:t>
      </w: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Завершилась апробация модели аттестации учителя на основе применения единых федеральных оценочных материалов (ЕФОМ), в которой принимали участие учителя русского языка и математики. </w:t>
      </w: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пройдёт разработка и апробация ЕФОМ по всем предметам, а в 2020 году новые правила аттестации станут обязательными для всех.</w:t>
      </w:r>
    </w:p>
    <w:sectPr w:rsidR="00A36734" w:rsidRPr="00A36734" w:rsidSect="00C1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641"/>
    <w:multiLevelType w:val="hybridMultilevel"/>
    <w:tmpl w:val="7328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513"/>
    <w:multiLevelType w:val="hybridMultilevel"/>
    <w:tmpl w:val="E4FC4624"/>
    <w:lvl w:ilvl="0" w:tplc="A3F44D4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23964"/>
    <w:multiLevelType w:val="hybridMultilevel"/>
    <w:tmpl w:val="D1D6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15C7"/>
    <w:multiLevelType w:val="hybridMultilevel"/>
    <w:tmpl w:val="51466F2A"/>
    <w:lvl w:ilvl="0" w:tplc="A3F44D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7817"/>
    <w:multiLevelType w:val="hybridMultilevel"/>
    <w:tmpl w:val="F458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C0C32"/>
    <w:multiLevelType w:val="hybridMultilevel"/>
    <w:tmpl w:val="F1F0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372A2"/>
    <w:multiLevelType w:val="hybridMultilevel"/>
    <w:tmpl w:val="CE9CF408"/>
    <w:lvl w:ilvl="0" w:tplc="E37A44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7AF489D"/>
    <w:multiLevelType w:val="hybridMultilevel"/>
    <w:tmpl w:val="034A8F8A"/>
    <w:lvl w:ilvl="0" w:tplc="A3F44D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13CA"/>
    <w:multiLevelType w:val="hybridMultilevel"/>
    <w:tmpl w:val="B93CA2AC"/>
    <w:lvl w:ilvl="0" w:tplc="A3F44D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0349"/>
    <w:rsid w:val="0001660A"/>
    <w:rsid w:val="00047F07"/>
    <w:rsid w:val="000B2E0F"/>
    <w:rsid w:val="000D1056"/>
    <w:rsid w:val="000D4FCA"/>
    <w:rsid w:val="000E7AA5"/>
    <w:rsid w:val="00134E41"/>
    <w:rsid w:val="00187F1E"/>
    <w:rsid w:val="001F12FF"/>
    <w:rsid w:val="0020657A"/>
    <w:rsid w:val="00217B4C"/>
    <w:rsid w:val="00263ACA"/>
    <w:rsid w:val="002B5EBD"/>
    <w:rsid w:val="00330349"/>
    <w:rsid w:val="003917DF"/>
    <w:rsid w:val="003954CC"/>
    <w:rsid w:val="003E3C97"/>
    <w:rsid w:val="00401D85"/>
    <w:rsid w:val="00441C67"/>
    <w:rsid w:val="0046284E"/>
    <w:rsid w:val="00477F4B"/>
    <w:rsid w:val="004933AF"/>
    <w:rsid w:val="004D100C"/>
    <w:rsid w:val="004E1640"/>
    <w:rsid w:val="004E6631"/>
    <w:rsid w:val="00545503"/>
    <w:rsid w:val="00553587"/>
    <w:rsid w:val="00557F8C"/>
    <w:rsid w:val="00576893"/>
    <w:rsid w:val="005818B6"/>
    <w:rsid w:val="005821DB"/>
    <w:rsid w:val="00590809"/>
    <w:rsid w:val="005916F0"/>
    <w:rsid w:val="006B0B84"/>
    <w:rsid w:val="006E239E"/>
    <w:rsid w:val="006F147C"/>
    <w:rsid w:val="00776090"/>
    <w:rsid w:val="007C4A87"/>
    <w:rsid w:val="007D0975"/>
    <w:rsid w:val="007D3145"/>
    <w:rsid w:val="007D3D19"/>
    <w:rsid w:val="007E3BEC"/>
    <w:rsid w:val="007F4E24"/>
    <w:rsid w:val="00821362"/>
    <w:rsid w:val="00901A86"/>
    <w:rsid w:val="00903F79"/>
    <w:rsid w:val="009C4458"/>
    <w:rsid w:val="009E105A"/>
    <w:rsid w:val="009E6EF4"/>
    <w:rsid w:val="00A1259E"/>
    <w:rsid w:val="00A14C00"/>
    <w:rsid w:val="00A36734"/>
    <w:rsid w:val="00B64C41"/>
    <w:rsid w:val="00BA5EC2"/>
    <w:rsid w:val="00BB67E9"/>
    <w:rsid w:val="00BE11A7"/>
    <w:rsid w:val="00C176B5"/>
    <w:rsid w:val="00C37902"/>
    <w:rsid w:val="00C405C6"/>
    <w:rsid w:val="00C50E35"/>
    <w:rsid w:val="00C61DCB"/>
    <w:rsid w:val="00CF216C"/>
    <w:rsid w:val="00D05DCB"/>
    <w:rsid w:val="00D25BF5"/>
    <w:rsid w:val="00D3484A"/>
    <w:rsid w:val="00DA7C6B"/>
    <w:rsid w:val="00DC5E18"/>
    <w:rsid w:val="00DD03BA"/>
    <w:rsid w:val="00DE0472"/>
    <w:rsid w:val="00DE7CA9"/>
    <w:rsid w:val="00E07D84"/>
    <w:rsid w:val="00EB71C0"/>
    <w:rsid w:val="00EC0AE2"/>
    <w:rsid w:val="00EF7B2E"/>
    <w:rsid w:val="00F03408"/>
    <w:rsid w:val="00F311D5"/>
    <w:rsid w:val="00F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71.349999999999994</c:v>
                </c:pt>
                <c:pt idx="1">
                  <c:v>38.9</c:v>
                </c:pt>
                <c:pt idx="2">
                  <c:v>81.05</c:v>
                </c:pt>
                <c:pt idx="3">
                  <c:v>85.8</c:v>
                </c:pt>
                <c:pt idx="4">
                  <c:v>79.599999999999994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4E-4EA1-8892-059049CA4D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59.1</c:v>
                </c:pt>
                <c:pt idx="2">
                  <c:v>83.42</c:v>
                </c:pt>
                <c:pt idx="3">
                  <c:v>70.63</c:v>
                </c:pt>
                <c:pt idx="4">
                  <c:v>55.68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4E-4EA1-8892-059049CA4D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4E-4EA1-8892-059049CA4D85}"/>
            </c:ext>
          </c:extLst>
        </c:ser>
        <c:gapWidth val="182"/>
        <c:axId val="113778688"/>
        <c:axId val="113780224"/>
      </c:barChart>
      <c:catAx>
        <c:axId val="1137786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80224"/>
        <c:crosses val="autoZero"/>
        <c:auto val="1"/>
        <c:lblAlgn val="ctr"/>
        <c:lblOffset val="100"/>
      </c:catAx>
      <c:valAx>
        <c:axId val="1137802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7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2017(0-35)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18.600000000000001</c:v>
                </c:pt>
                <c:pt idx="1">
                  <c:v>6.2</c:v>
                </c:pt>
                <c:pt idx="2">
                  <c:v>0</c:v>
                </c:pt>
                <c:pt idx="3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6D-4307-9C46-2421C2295C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2018(0-35)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22.8</c:v>
                </c:pt>
                <c:pt idx="1">
                  <c:v>6.24</c:v>
                </c:pt>
                <c:pt idx="2">
                  <c:v>2.19</c:v>
                </c:pt>
                <c:pt idx="3">
                  <c:v>10.47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6D-4307-9C46-2421C2295C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6D-4307-9C46-2421C2295C96}"/>
            </c:ext>
          </c:extLst>
        </c:ser>
        <c:marker val="1"/>
        <c:axId val="114376704"/>
        <c:axId val="114378240"/>
      </c:lineChart>
      <c:catAx>
        <c:axId val="114376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378240"/>
        <c:crosses val="autoZero"/>
        <c:auto val="1"/>
        <c:lblAlgn val="ctr"/>
        <c:lblOffset val="100"/>
      </c:catAx>
      <c:valAx>
        <c:axId val="114378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37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2017(60-79)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80.5</c:v>
                </c:pt>
                <c:pt idx="1">
                  <c:v>63.8</c:v>
                </c:pt>
                <c:pt idx="2">
                  <c:v>28.2</c:v>
                </c:pt>
                <c:pt idx="3">
                  <c:v>57.2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BB-4CAB-84DD-C297556855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2018(60-79)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80.910000000000025</c:v>
                </c:pt>
                <c:pt idx="1">
                  <c:v>59.75</c:v>
                </c:pt>
                <c:pt idx="2">
                  <c:v>33.760000000000012</c:v>
                </c:pt>
                <c:pt idx="3">
                  <c:v>58.14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BB-4CAB-84DD-C297556855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BB-4CAB-84DD-C297556855CE}"/>
            </c:ext>
          </c:extLst>
        </c:ser>
        <c:marker val="1"/>
        <c:axId val="114991104"/>
        <c:axId val="114992640"/>
      </c:lineChart>
      <c:catAx>
        <c:axId val="114991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992640"/>
        <c:crosses val="autoZero"/>
        <c:auto val="1"/>
        <c:lblAlgn val="ctr"/>
        <c:lblOffset val="100"/>
      </c:catAx>
      <c:valAx>
        <c:axId val="11499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99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2017(80-100)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95.2</c:v>
                </c:pt>
                <c:pt idx="1">
                  <c:v>90.5</c:v>
                </c:pt>
                <c:pt idx="2">
                  <c:v>66.400000000000006</c:v>
                </c:pt>
                <c:pt idx="3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2-45F9-895F-591FA0723D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2018(80-100)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95.240000000000023</c:v>
                </c:pt>
                <c:pt idx="1">
                  <c:v>92.9</c:v>
                </c:pt>
                <c:pt idx="2">
                  <c:v>80.040000000000006</c:v>
                </c:pt>
                <c:pt idx="3">
                  <c:v>89.39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22-45F9-895F-591FA0723D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22-45F9-895F-591FA0723DDD}"/>
            </c:ext>
          </c:extLst>
        </c:ser>
        <c:marker val="1"/>
        <c:axId val="114577408"/>
        <c:axId val="114578944"/>
      </c:lineChart>
      <c:catAx>
        <c:axId val="114577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78944"/>
        <c:crosses val="autoZero"/>
        <c:auto val="1"/>
        <c:lblAlgn val="ctr"/>
        <c:lblOffset val="100"/>
      </c:catAx>
      <c:valAx>
        <c:axId val="114578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7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68.099999999999994</c:v>
                </c:pt>
                <c:pt idx="1">
                  <c:v>62.5</c:v>
                </c:pt>
                <c:pt idx="2">
                  <c:v>45.6</c:v>
                </c:pt>
                <c:pt idx="3">
                  <c:v>58.7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7C-4478-B918-1D89BF7A84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70.149999999999991</c:v>
                </c:pt>
                <c:pt idx="1">
                  <c:v>62.18</c:v>
                </c:pt>
                <c:pt idx="2">
                  <c:v>45.83</c:v>
                </c:pt>
                <c:pt idx="3">
                  <c:v>59.38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7C-4478-B918-1D89BF7A84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7C-4478-B918-1D89BF7A842D}"/>
            </c:ext>
          </c:extLst>
        </c:ser>
        <c:marker val="1"/>
        <c:axId val="115113984"/>
        <c:axId val="115115520"/>
      </c:lineChart>
      <c:catAx>
        <c:axId val="115113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15520"/>
        <c:crosses val="autoZero"/>
        <c:auto val="1"/>
        <c:lblAlgn val="ctr"/>
        <c:lblOffset val="100"/>
      </c:catAx>
      <c:valAx>
        <c:axId val="115115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1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61.7</c:v>
                </c:pt>
                <c:pt idx="1">
                  <c:v>56</c:v>
                </c:pt>
                <c:pt idx="2">
                  <c:v>64.099999999999994</c:v>
                </c:pt>
                <c:pt idx="3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54-4621-9445-D136A5F57E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65.040000000000006</c:v>
                </c:pt>
                <c:pt idx="1">
                  <c:v>51.71</c:v>
                </c:pt>
                <c:pt idx="2">
                  <c:v>83.240000000000023</c:v>
                </c:pt>
                <c:pt idx="3">
                  <c:v>60.18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54-4621-9445-D136A5F57E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54-4621-9445-D136A5F57EF0}"/>
            </c:ext>
          </c:extLst>
        </c:ser>
        <c:gapWidth val="182"/>
        <c:axId val="113811456"/>
        <c:axId val="113812992"/>
      </c:barChart>
      <c:catAx>
        <c:axId val="1138114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12992"/>
        <c:crosses val="autoZero"/>
        <c:auto val="1"/>
        <c:lblAlgn val="ctr"/>
        <c:lblOffset val="100"/>
      </c:catAx>
      <c:valAx>
        <c:axId val="1138129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69.599999999999994</c:v>
                </c:pt>
                <c:pt idx="1">
                  <c:v>54.3</c:v>
                </c:pt>
                <c:pt idx="2">
                  <c:v>61.4</c:v>
                </c:pt>
                <c:pt idx="3">
                  <c:v>93.6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99-45CD-B761-BC0A76808C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34.230000000000011</c:v>
                </c:pt>
                <c:pt idx="2">
                  <c:v>78.38</c:v>
                </c:pt>
                <c:pt idx="3">
                  <c:v>89.01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99-45CD-B761-BC0A76808C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99-45CD-B761-BC0A76808CF5}"/>
            </c:ext>
          </c:extLst>
        </c:ser>
        <c:gapWidth val="182"/>
        <c:axId val="114540544"/>
        <c:axId val="114542080"/>
      </c:barChart>
      <c:catAx>
        <c:axId val="1145405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42080"/>
        <c:crosses val="autoZero"/>
        <c:auto val="1"/>
        <c:lblAlgn val="ctr"/>
        <c:lblOffset val="100"/>
      </c:catAx>
      <c:valAx>
        <c:axId val="1145420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4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2">
                  <c:v>72.900000000000006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1F-4CDF-871F-0574C02A26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62.160000000000011</c:v>
                </c:pt>
                <c:pt idx="1">
                  <c:v>56.04</c:v>
                </c:pt>
                <c:pt idx="2">
                  <c:v>75.14</c:v>
                </c:pt>
                <c:pt idx="3">
                  <c:v>55.32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1F-4CDF-871F-0574C02A26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1F-4CDF-871F-0574C02A269C}"/>
            </c:ext>
          </c:extLst>
        </c:ser>
        <c:gapWidth val="182"/>
        <c:axId val="114139136"/>
        <c:axId val="114140672"/>
      </c:barChart>
      <c:catAx>
        <c:axId val="1141391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40672"/>
        <c:crosses val="autoZero"/>
        <c:auto val="1"/>
        <c:lblAlgn val="ctr"/>
        <c:lblOffset val="100"/>
      </c:catAx>
      <c:valAx>
        <c:axId val="1141406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3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47.3</c:v>
                </c:pt>
                <c:pt idx="1">
                  <c:v>9.4500000000000028</c:v>
                </c:pt>
                <c:pt idx="2">
                  <c:v>35.200000000000003</c:v>
                </c:pt>
                <c:pt idx="3">
                  <c:v>65.099999999999994</c:v>
                </c:pt>
                <c:pt idx="4">
                  <c:v>29.8</c:v>
                </c:pt>
                <c:pt idx="5">
                  <c:v>29.8</c:v>
                </c:pt>
                <c:pt idx="6">
                  <c:v>55.6</c:v>
                </c:pt>
                <c:pt idx="7">
                  <c:v>68.099999999999994</c:v>
                </c:pt>
                <c:pt idx="8">
                  <c:v>82.4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67-49B0-923E-E204C0564B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57.290000000000013</c:v>
                </c:pt>
                <c:pt idx="1">
                  <c:v>25.77</c:v>
                </c:pt>
                <c:pt idx="2">
                  <c:v>40.54</c:v>
                </c:pt>
                <c:pt idx="3">
                  <c:v>58.74</c:v>
                </c:pt>
                <c:pt idx="4">
                  <c:v>43.6</c:v>
                </c:pt>
                <c:pt idx="5">
                  <c:v>50.99</c:v>
                </c:pt>
                <c:pt idx="6">
                  <c:v>79.099999999999994</c:v>
                </c:pt>
                <c:pt idx="7">
                  <c:v>67.209999999999994</c:v>
                </c:pt>
                <c:pt idx="8">
                  <c:v>92.43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67-49B0-923E-E204C0564B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67-49B0-923E-E204C0564B39}"/>
            </c:ext>
          </c:extLst>
        </c:ser>
        <c:gapWidth val="182"/>
        <c:axId val="114126848"/>
        <c:axId val="114128384"/>
      </c:barChart>
      <c:catAx>
        <c:axId val="1141268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28384"/>
        <c:crosses val="autoZero"/>
        <c:auto val="1"/>
        <c:lblAlgn val="ctr"/>
        <c:lblOffset val="100"/>
      </c:catAx>
      <c:valAx>
        <c:axId val="1141283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2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47</c:v>
                </c:pt>
                <c:pt idx="1">
                  <c:v>31</c:v>
                </c:pt>
                <c:pt idx="2">
                  <c:v>35.200000000000003</c:v>
                </c:pt>
                <c:pt idx="3">
                  <c:v>63.4</c:v>
                </c:pt>
                <c:pt idx="4">
                  <c:v>47.4</c:v>
                </c:pt>
                <c:pt idx="5">
                  <c:v>51.4</c:v>
                </c:pt>
                <c:pt idx="6">
                  <c:v>40</c:v>
                </c:pt>
                <c:pt idx="7">
                  <c:v>49.2</c:v>
                </c:pt>
                <c:pt idx="8">
                  <c:v>42.7</c:v>
                </c:pt>
                <c:pt idx="9">
                  <c:v>34.200000000000003</c:v>
                </c:pt>
                <c:pt idx="10">
                  <c:v>91.2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D1-4654-8ACA-AF4B7EF093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54.41</c:v>
                </c:pt>
                <c:pt idx="1">
                  <c:v>30.99</c:v>
                </c:pt>
                <c:pt idx="2">
                  <c:v>40.54</c:v>
                </c:pt>
                <c:pt idx="3">
                  <c:v>61.620000000000012</c:v>
                </c:pt>
                <c:pt idx="4">
                  <c:v>51.17</c:v>
                </c:pt>
                <c:pt idx="5">
                  <c:v>38.56</c:v>
                </c:pt>
                <c:pt idx="6">
                  <c:v>41.98</c:v>
                </c:pt>
                <c:pt idx="7">
                  <c:v>69.73</c:v>
                </c:pt>
                <c:pt idx="8">
                  <c:v>70.27</c:v>
                </c:pt>
                <c:pt idx="9">
                  <c:v>66.13</c:v>
                </c:pt>
                <c:pt idx="10">
                  <c:v>73.149999999999991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D1-4654-8ACA-AF4B7EF093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D1-4654-8ACA-AF4B7EF093A7}"/>
            </c:ext>
          </c:extLst>
        </c:ser>
        <c:gapWidth val="182"/>
        <c:axId val="114708480"/>
        <c:axId val="114710016"/>
      </c:barChart>
      <c:catAx>
        <c:axId val="1147084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710016"/>
        <c:crosses val="autoZero"/>
        <c:auto val="1"/>
        <c:lblAlgn val="ctr"/>
        <c:lblOffset val="100"/>
      </c:catAx>
      <c:valAx>
        <c:axId val="1147100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7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39.200000000000003</c:v>
                </c:pt>
                <c:pt idx="1">
                  <c:v>39.200000000000003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73-4D8E-8257-70D3BD1507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50.99</c:v>
                </c:pt>
                <c:pt idx="1">
                  <c:v>50.99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73-4D8E-8257-70D3BD1507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73-4D8E-8257-70D3BD150786}"/>
            </c:ext>
          </c:extLst>
        </c:ser>
        <c:gapWidth val="182"/>
        <c:axId val="114683904"/>
        <c:axId val="114685440"/>
      </c:barChart>
      <c:catAx>
        <c:axId val="1146839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685440"/>
        <c:crosses val="autoZero"/>
        <c:auto val="1"/>
        <c:lblAlgn val="ctr"/>
        <c:lblOffset val="100"/>
      </c:catAx>
      <c:valAx>
        <c:axId val="1146854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68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44.4</c:v>
                </c:pt>
                <c:pt idx="1">
                  <c:v>8.8000000000000007</c:v>
                </c:pt>
                <c:pt idx="2">
                  <c:v>4.7</c:v>
                </c:pt>
                <c:pt idx="3">
                  <c:v>63.3</c:v>
                </c:pt>
                <c:pt idx="4">
                  <c:v>72.2</c:v>
                </c:pt>
                <c:pt idx="5">
                  <c:v>72.900000000000006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608-AE29-91BEF3730D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49.51</c:v>
                </c:pt>
                <c:pt idx="1">
                  <c:v>10.27</c:v>
                </c:pt>
                <c:pt idx="2">
                  <c:v>30.99</c:v>
                </c:pt>
                <c:pt idx="3">
                  <c:v>68.649999999999991</c:v>
                </c:pt>
                <c:pt idx="4">
                  <c:v>62.52</c:v>
                </c:pt>
                <c:pt idx="5">
                  <c:v>75.14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608-AE29-91BEF3730D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6B-4608-AE29-91BEF3730DB8}"/>
            </c:ext>
          </c:extLst>
        </c:ser>
        <c:gapWidth val="182"/>
        <c:axId val="114167808"/>
        <c:axId val="114169344"/>
      </c:barChart>
      <c:catAx>
        <c:axId val="1141678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69344"/>
        <c:crosses val="autoZero"/>
        <c:auto val="1"/>
        <c:lblAlgn val="ctr"/>
        <c:lblOffset val="100"/>
      </c:catAx>
      <c:valAx>
        <c:axId val="1141693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6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66.900000000000006</c:v>
                </c:pt>
                <c:pt idx="1">
                  <c:v>52.1</c:v>
                </c:pt>
                <c:pt idx="2">
                  <c:v>23.8</c:v>
                </c:pt>
                <c:pt idx="3">
                  <c:v>47.6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7F-4CA1-832A-301898E4AB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68.52</c:v>
                </c:pt>
                <c:pt idx="1">
                  <c:v>51.28</c:v>
                </c:pt>
                <c:pt idx="2">
                  <c:v>29.58</c:v>
                </c:pt>
                <c:pt idx="3">
                  <c:v>49.790000000000013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7F-4CA1-832A-301898E4AB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7F-4CA1-832A-301898E4ABC9}"/>
            </c:ext>
          </c:extLst>
        </c:ser>
        <c:marker val="1"/>
        <c:axId val="114761728"/>
        <c:axId val="114763264"/>
      </c:lineChart>
      <c:catAx>
        <c:axId val="114761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763264"/>
        <c:crosses val="autoZero"/>
        <c:auto val="1"/>
        <c:lblAlgn val="ctr"/>
        <c:lblOffset val="100"/>
      </c:catAx>
      <c:valAx>
        <c:axId val="114763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76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2905-8C44-4DF8-9406-5E7E3237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8302</Words>
  <Characters>47323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LOIRO-26</dc:creator>
  <cp:lastModifiedBy>nic2014</cp:lastModifiedBy>
  <cp:revision>2</cp:revision>
  <cp:lastPrinted>2018-09-11T07:24:00Z</cp:lastPrinted>
  <dcterms:created xsi:type="dcterms:W3CDTF">2019-01-18T10:01:00Z</dcterms:created>
  <dcterms:modified xsi:type="dcterms:W3CDTF">2019-01-18T10:01:00Z</dcterms:modified>
</cp:coreProperties>
</file>