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№527н от 30 июля 2015 г.</w:t>
      </w:r>
    </w:p>
    <w:p>
      <w:pPr>
        <w:pStyle w:val="Heading2"/>
        <w:rPr/>
      </w:pPr>
      <w:r>
        <w:rPr/>
        <w:t>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>
      <w:pPr>
        <w:pStyle w:val="TextBody"/>
        <w:rPr/>
      </w:pPr>
      <w:r>
        <w:rPr/>
        <w:t>В соответствии с частью 2 статьи 15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>
      <w:pPr>
        <w:pStyle w:val="TextBody"/>
        <w:rPr/>
      </w:pPr>
      <w:r>
        <w:rPr/>
        <w:t>1. Утвердить прилагаемый 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>
      <w:pPr>
        <w:pStyle w:val="TextBody"/>
        <w:rPr/>
      </w:pPr>
      <w:r>
        <w:rPr/>
        <w:t>2. Настоящий приказ вступает в силу с 1 января 2016 года.</w:t>
      </w:r>
    </w:p>
    <w:p>
      <w:pPr>
        <w:pStyle w:val="Heading5"/>
        <w:rPr/>
      </w:pPr>
      <w:r>
        <w:rPr/>
        <w:t>Министр</w:t>
        <w:br/>
        <w:t>М.А. Топилин</w:t>
      </w:r>
    </w:p>
    <w:p>
      <w:pPr>
        <w:pStyle w:val="TextBody"/>
        <w:rPr/>
      </w:pPr>
      <w:r>
        <w:rPr>
          <w:rStyle w:val="StrongEmphasis"/>
        </w:rPr>
        <w:t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</w:p>
    <w:p>
      <w:pPr>
        <w:pStyle w:val="TextBody"/>
        <w:rPr/>
      </w:pPr>
      <w:r>
        <w:rPr/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>
      <w:pPr>
        <w:pStyle w:val="TextBody"/>
        <w:rPr/>
      </w:pPr>
      <w:r>
        <w:rPr/>
        <w:t>2. 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 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</w:p>
    <w:p>
      <w:pPr>
        <w:pStyle w:val="TextBody"/>
        <w:rPr/>
      </w:pPr>
      <w:r>
        <w:rPr/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>
      <w:pPr>
        <w:pStyle w:val="TextBody"/>
        <w:rPr/>
      </w:pPr>
      <w:r>
        <w:rPr/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>
      <w:pPr>
        <w:pStyle w:val="TextBody"/>
        <w:rPr/>
      </w:pPr>
      <w:r>
        <w:rPr/>
        <w:t>а) возможность беспрепятственного входа в объекты и выхода из них;</w:t>
      </w:r>
    </w:p>
    <w:p>
      <w:pPr>
        <w:pStyle w:val="TextBody"/>
        <w:rPr/>
      </w:pPr>
      <w:r>
        <w:rPr/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>
      <w:pPr>
        <w:pStyle w:val="TextBody"/>
        <w:rPr/>
      </w:pPr>
      <w:r>
        <w:rPr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TextBody"/>
        <w:rPr/>
      </w:pPr>
      <w:r>
        <w:rPr/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>
      <w:pPr>
        <w:pStyle w:val="TextBody"/>
        <w:rPr/>
      </w:pPr>
      <w:r>
        <w:rPr/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TextBody"/>
        <w:rPr/>
      </w:pPr>
      <w:r>
        <w:rPr/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TextBody"/>
        <w:rPr/>
      </w:pPr>
      <w:r>
        <w:rPr/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>
      <w:pPr>
        <w:pStyle w:val="TextBody"/>
        <w:rPr/>
      </w:pPr>
      <w:r>
        <w:rPr/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>
      <w:pPr>
        <w:pStyle w:val="TextBody"/>
        <w:rPr/>
      </w:pPr>
      <w:r>
        <w:rPr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>
      <w:pPr>
        <w:pStyle w:val="TextBody"/>
        <w:rPr/>
      </w:pPr>
      <w:r>
        <w:rPr/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TextBody"/>
        <w:rPr/>
      </w:pPr>
      <w:r>
        <w:rPr/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>
      <w:pPr>
        <w:pStyle w:val="TextBody"/>
        <w:rPr/>
      </w:pPr>
      <w:r>
        <w:rPr/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>
      <w:pPr>
        <w:pStyle w:val="TextBody"/>
        <w:rPr/>
      </w:pPr>
      <w:r>
        <w:rPr/>
        <w:t>6. Кроме условий доступности услуг, предусмотренных пунктом 5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>
      <w:pPr>
        <w:pStyle w:val="TextBody"/>
        <w:rPr/>
      </w:pPr>
      <w:r>
        <w:rPr/>
        <w:t>а) при предоставлении государственной услуги по проведению медико-социальной экспертизы:</w:t>
      </w:r>
    </w:p>
    <w:p>
      <w:pPr>
        <w:pStyle w:val="TextBody"/>
        <w:rPr/>
      </w:pPr>
      <w:r>
        <w:rPr/>
        <w:t>размещение помещений, в которых предоставляется государственная услуга, преимущественно на нижних этажах зданий;</w:t>
      </w:r>
    </w:p>
    <w:p>
      <w:pPr>
        <w:pStyle w:val="TextBody"/>
        <w:rPr/>
      </w:pPr>
      <w:r>
        <w:rPr/>
        <w:t>предоставление услуги в отдельных кабинетах;</w:t>
      </w:r>
    </w:p>
    <w:p>
      <w:pPr>
        <w:pStyle w:val="TextBody"/>
        <w:rPr/>
      </w:pPr>
      <w:r>
        <w:rPr/>
        <w:t>предоставление инвалидам возможности направить заявление в электронном виде;</w:t>
      </w:r>
    </w:p>
    <w:p>
      <w:pPr>
        <w:pStyle w:val="TextBody"/>
        <w:rPr/>
      </w:pPr>
      <w:r>
        <w:rPr/>
        <w:t>другие условия обеспечения доступности, предусмотренные Административным регламентом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</w:p>
    <w:p>
      <w:pPr>
        <w:pStyle w:val="TextBody"/>
        <w:rPr/>
      </w:pPr>
      <w:r>
        <w:rPr/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>
      <w:pPr>
        <w:pStyle w:val="TextBody"/>
        <w:rPr/>
      </w:pPr>
      <w:r>
        <w:rPr/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>
      <w:pPr>
        <w:pStyle w:val="TextBody"/>
        <w:rPr/>
      </w:pPr>
      <w:r>
        <w:rPr/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>
      <w:pPr>
        <w:pStyle w:val="TextBody"/>
        <w:rPr/>
      </w:pPr>
      <w:r>
        <w:rPr/>
        <w:t>- в форме электронного документа;</w:t>
      </w:r>
    </w:p>
    <w:p>
      <w:pPr>
        <w:pStyle w:val="TextBody"/>
        <w:rPr/>
      </w:pPr>
      <w:r>
        <w:rPr/>
        <w:t>- в многофункциональный центр предоставления государственных и муниципальных услуг;</w:t>
      </w:r>
    </w:p>
    <w:p>
      <w:pPr>
        <w:pStyle w:val="TextBody"/>
        <w:rPr/>
      </w:pPr>
      <w:r>
        <w:rPr/>
        <w:t>другие условия доступности государственной услуги, предусмотренные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 2012, N 17, ст. 1992; N 37, ст. 5002; 2013, N 13, ст. 1559; N 22, ст. 2809; N 40, ст. 5076; 2014, N 44, ст. 6070);</w:t>
      </w:r>
    </w:p>
    <w:p>
      <w:pPr>
        <w:pStyle w:val="TextBody"/>
        <w:rPr/>
      </w:pPr>
      <w:r>
        <w:rPr/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>
      <w:pPr>
        <w:pStyle w:val="TextBody"/>
        <w:rPr/>
      </w:pPr>
      <w:r>
        <w:rPr/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>
      <w:pPr>
        <w:pStyle w:val="TextBody"/>
        <w:rPr/>
      </w:pPr>
      <w:r>
        <w:rPr/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>
      <w:pPr>
        <w:pStyle w:val="TextBody"/>
        <w:rPr/>
      </w:pPr>
      <w:r>
        <w:rPr/>
        <w:t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требованиями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 от 19 ноября 2013 г. N 685н (зарегистрирован Министерством юстиции Российской Федерации 2 апреля 2014 г., регистрационный N 31801);</w:t>
      </w:r>
    </w:p>
    <w:p>
      <w:pPr>
        <w:pStyle w:val="TextBody"/>
        <w:rPr/>
      </w:pPr>
      <w:r>
        <w:rPr/>
        <w:t>выполнение квоты для приема на работу инвалидов в соответствии со статьей 21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</w:p>
    <w:p>
      <w:pPr>
        <w:pStyle w:val="TextBody"/>
        <w:rPr/>
      </w:pPr>
      <w:r>
        <w:rPr/>
        <w:t>создание инвалидам необходимых условий труда в соответствии с Гигиеническими требованиями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абилитации инвалида.</w:t>
      </w:r>
    </w:p>
    <w:p>
      <w:pPr>
        <w:pStyle w:val="TextBody"/>
        <w:rPr/>
      </w:pPr>
      <w:r>
        <w:rPr/>
        <w:t>г) при предоставлении социальных услуг в организациях социального обслуживания инвалидам обеспечивается:</w:t>
      </w:r>
    </w:p>
    <w:p>
      <w:pPr>
        <w:pStyle w:val="TextBody"/>
        <w:rPr/>
      </w:pPr>
      <w:r>
        <w:rPr/>
        <w:t>оборудование на прилегающих к объекту территориях мест для парковки автотранспортных средств инвалидов;</w:t>
      </w:r>
    </w:p>
    <w:p>
      <w:pPr>
        <w:pStyle w:val="TextBody"/>
        <w:rPr/>
      </w:pPr>
      <w:r>
        <w:rPr/>
        <w:t>содействие со стороны поставщиков социальных услуг в прохождении медико-социальной экспертизы;</w:t>
      </w:r>
    </w:p>
    <w:p>
      <w:pPr>
        <w:pStyle w:val="TextBody"/>
        <w:rPr/>
      </w:pPr>
      <w:r>
        <w:rPr/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>
      <w:pPr>
        <w:pStyle w:val="TextBody"/>
        <w:rPr/>
      </w:pPr>
      <w:r>
        <w:rPr/>
        <w:t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форме,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 декабря 2014 г., регистрационный N 35441);</w:t>
      </w:r>
    </w:p>
    <w:p>
      <w:pPr>
        <w:pStyle w:val="TextBody"/>
        <w:rPr/>
      </w:pPr>
      <w:r>
        <w:rPr/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>
      <w:pPr>
        <w:pStyle w:val="TextBody"/>
        <w:rPr/>
      </w:pPr>
      <w:r>
        <w:rPr/>
        <w:t>7. 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 статьей 15 Федерального закона от 24 ноября 1995 г. N 181-ФЗ "О социальной защите инвалидов в Российской Федерации",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>
      <w:pPr>
        <w:pStyle w:val="TextBody"/>
        <w:rPr/>
      </w:pPr>
      <w:r>
        <w:rPr/>
        <w:t>8. 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>
      <w:pPr>
        <w:pStyle w:val="TextBody"/>
        <w:rPr/>
      </w:pPr>
      <w:r>
        <w:rPr/>
        <w:t>9. 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</w:p>
    <w:p>
      <w:pPr>
        <w:pStyle w:val="TextBody"/>
        <w:rPr/>
      </w:pPr>
      <w:r>
        <w:rPr/>
        <w:t>10. Паспорт доступности должен содержать следующие разделы:</w:t>
      </w:r>
    </w:p>
    <w:p>
      <w:pPr>
        <w:pStyle w:val="TextBody"/>
        <w:rPr/>
      </w:pPr>
      <w:r>
        <w:rPr/>
        <w:t>а) краткая характеристика объекта и предоставляемых на нем услуг;</w:t>
      </w:r>
    </w:p>
    <w:p>
      <w:pPr>
        <w:pStyle w:val="TextBody"/>
        <w:rPr/>
      </w:pPr>
      <w:r>
        <w:rPr/>
        <w:t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пунктом 13 настоящего Порядка;</w:t>
      </w:r>
    </w:p>
    <w:p>
      <w:pPr>
        <w:pStyle w:val="TextBody"/>
        <w:rPr/>
      </w:pPr>
      <w:r>
        <w:rPr/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пунктом 13 настоящего Порядка;</w:t>
      </w:r>
    </w:p>
    <w:p>
      <w:pPr>
        <w:pStyle w:val="TextBody"/>
        <w:rPr/>
      </w:pPr>
      <w:r>
        <w:rPr/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>
      <w:pPr>
        <w:pStyle w:val="TextBody"/>
        <w:rPr/>
      </w:pPr>
      <w:r>
        <w:rPr/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>
      <w:pPr>
        <w:pStyle w:val="TextBody"/>
        <w:rPr/>
      </w:pPr>
      <w:r>
        <w:rPr/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>
      <w:pPr>
        <w:pStyle w:val="TextBody"/>
        <w:rPr/>
      </w:pPr>
      <w:r>
        <w:rPr/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>
      <w:pPr>
        <w:pStyle w:val="TextBody"/>
        <w:rPr/>
      </w:pPr>
      <w:r>
        <w:rPr/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</w:p>
    <w:p>
      <w:pPr>
        <w:pStyle w:val="TextBody"/>
        <w:rPr/>
      </w:pPr>
      <w:r>
        <w:rPr/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>
      <w:pPr>
        <w:pStyle w:val="TextBody"/>
        <w:rPr/>
      </w:pPr>
      <w:r>
        <w:rPr/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>
      <w:pPr>
        <w:pStyle w:val="TextBody"/>
        <w:rPr/>
      </w:pPr>
      <w:r>
        <w:rPr/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выделенные стоянки автотранспортных средств для инвалидов;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сменные кресла-коляски;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адаптированные лифты;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поручни;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пандусы;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подъемные платформы (аппарели);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раздвижные двери;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доступные входные группы;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доступные санитарно-гигиенические помещения;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достаточная ширина дверных проемов в стенах, лестничных маршей, площадок; </w:t>
      </w:r>
    </w:p>
    <w:p>
      <w:pPr>
        <w:pStyle w:val="TextBody"/>
        <w:rPr/>
      </w:pPr>
      <w:r>
        <w:rPr/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>
      <w:pPr>
        <w:pStyle w:val="TextBody"/>
        <w:rPr/>
      </w:pPr>
      <w:r>
        <w:rPr/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>
      <w:pPr>
        <w:pStyle w:val="TextBody"/>
        <w:rPr/>
      </w:pPr>
      <w:r>
        <w:rPr/>
        <w:t>ж) 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услуг;</w:t>
      </w:r>
    </w:p>
    <w:p>
      <w:pPr>
        <w:pStyle w:val="TextBody"/>
        <w:rPr/>
      </w:pPr>
      <w:r>
        <w:rPr/>
        <w:t>з)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>
      <w:pPr>
        <w:pStyle w:val="TextBody"/>
        <w:rPr/>
      </w:pPr>
      <w:r>
        <w:rPr/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>
      <w:pPr>
        <w:pStyle w:val="TextBody"/>
        <w:rPr/>
      </w:pPr>
      <w:r>
        <w:rPr/>
        <w:t>к) доля инвалидов, обеспеченных техническими средствами реабилитации (услугами) в соответствии с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в соответствии с индивидуальной программой реабилитации или абилитации, в общей численности инвалидов, имеющих в индивидуальной программе реабилитации или абилитации рекомендации по предоставлению им технических средств реабилитации;</w:t>
      </w:r>
    </w:p>
    <w:p>
      <w:pPr>
        <w:pStyle w:val="TextBody"/>
        <w:rPr/>
      </w:pPr>
      <w:r>
        <w:rPr/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>
      <w:pPr>
        <w:pStyle w:val="TextBody"/>
        <w:rPr/>
      </w:pPr>
      <w:r>
        <w:rPr/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>
      <w:pPr>
        <w:pStyle w:val="TextBody"/>
        <w:rPr/>
      </w:pPr>
      <w:r>
        <w:rPr/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>
      <w:pPr>
        <w:pStyle w:val="TextBody"/>
        <w:rPr/>
      </w:pPr>
      <w:r>
        <w:rPr/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>
      <w:pPr>
        <w:pStyle w:val="TextBody"/>
        <w:rPr/>
      </w:pPr>
      <w:r>
        <w:rPr/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</w:p>
    <w:p>
      <w:pPr>
        <w:pStyle w:val="TextBody"/>
        <w:rPr/>
      </w:pPr>
      <w:r>
        <w:rPr/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>
      <w:pPr>
        <w:pStyle w:val="TextBody"/>
        <w:rPr/>
      </w:pPr>
      <w:r>
        <w:rPr/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>
      <w:pPr>
        <w:pStyle w:val="TextBody"/>
        <w:rPr/>
      </w:pPr>
      <w:r>
        <w:rPr/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>
      <w:pPr>
        <w:pStyle w:val="TextBody"/>
        <w:rPr/>
      </w:pPr>
      <w:r>
        <w:rPr/>
        <w:t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>
      <w:pPr>
        <w:pStyle w:val="TextBody"/>
        <w:rPr/>
      </w:pPr>
      <w:r>
        <w:rPr/>
        <w:t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>
      <w:pPr>
        <w:pStyle w:val="TextBody"/>
        <w:rPr/>
      </w:pPr>
      <w:r>
        <w:rPr/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>
      <w:pPr>
        <w:pStyle w:val="TextBody"/>
        <w:rPr/>
      </w:pPr>
      <w:r>
        <w:rPr/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>
      <w:pPr>
        <w:pStyle w:val="TextBody"/>
        <w:rPr/>
      </w:pPr>
      <w:r>
        <w:rPr/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>
      <w:pPr>
        <w:pStyle w:val="TextBody"/>
        <w:rPr/>
      </w:pPr>
      <w:r>
        <w:rPr/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>
      <w:pPr>
        <w:pStyle w:val="TextBody"/>
        <w:rPr/>
      </w:pPr>
      <w:r>
        <w:rPr/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>
      <w:pPr>
        <w:pStyle w:val="TextBody"/>
        <w:rPr/>
      </w:pPr>
      <w:r>
        <w:rPr/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>
      <w:pPr>
        <w:pStyle w:val="TextBody"/>
        <w:rPr/>
      </w:pPr>
      <w:r>
        <w:rPr/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>
      <w:pPr>
        <w:pStyle w:val="TextBody"/>
        <w:rPr/>
      </w:pPr>
      <w:r>
        <w:rPr/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>
      <w:pPr>
        <w:pStyle w:val="TextBody"/>
        <w:rPr/>
      </w:pPr>
      <w:r>
        <w:rPr/>
        <w:t>16. 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 24 ноября 1995 г. N 181-ФЗ "О социальной защите инвалидов в Российской Федерации".</w:t>
      </w:r>
    </w:p>
    <w:p>
      <w:pPr>
        <w:pStyle w:val="TextBody"/>
        <w:rPr/>
      </w:pPr>
      <w:r>
        <w:rPr/>
        <w:t>17. 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пунктом 13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 Правилами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>
      <w:pPr>
        <w:pStyle w:val="TextBody"/>
        <w:rPr/>
      </w:pPr>
      <w:r>
        <w:rPr/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